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2E0F" w14:textId="77777777" w:rsidR="00063667" w:rsidRPr="006C3830" w:rsidRDefault="00BD545C" w:rsidP="006C3830">
      <w:pPr>
        <w:spacing w:before="193" w:line="360" w:lineRule="auto"/>
        <w:ind w:left="1805" w:right="1824"/>
        <w:jc w:val="center"/>
        <w:rPr>
          <w:rFonts w:ascii="Cambria" w:hAnsi="Cambria"/>
          <w:b/>
          <w:sz w:val="30"/>
          <w:u w:val="single"/>
        </w:rPr>
      </w:pPr>
      <w:bookmarkStart w:id="0" w:name="_GoBack"/>
      <w:bookmarkEnd w:id="0"/>
      <w:r w:rsidRPr="006C3830">
        <w:rPr>
          <w:rFonts w:ascii="Cambria" w:hAnsi="Cambria"/>
          <w:b/>
          <w:sz w:val="30"/>
          <w:u w:val="single"/>
        </w:rPr>
        <w:t>Disclosure on Liquidity Risk</w:t>
      </w:r>
    </w:p>
    <w:p w14:paraId="5474C386" w14:textId="77777777" w:rsidR="00063667" w:rsidRPr="006C3830" w:rsidRDefault="00063667" w:rsidP="006C3830">
      <w:pPr>
        <w:pStyle w:val="BodyText"/>
        <w:spacing w:before="4" w:line="360" w:lineRule="auto"/>
        <w:rPr>
          <w:rFonts w:ascii="Cambria" w:hAnsi="Cambria"/>
          <w:b/>
          <w:sz w:val="40"/>
        </w:rPr>
      </w:pPr>
    </w:p>
    <w:p w14:paraId="1E7DCFDC" w14:textId="77777777" w:rsidR="00063667" w:rsidRPr="006C3830" w:rsidRDefault="00BD545C" w:rsidP="006C3830">
      <w:pPr>
        <w:pStyle w:val="Heading1"/>
        <w:spacing w:line="360" w:lineRule="auto"/>
        <w:ind w:firstLine="0"/>
        <w:rPr>
          <w:rFonts w:ascii="Cambria" w:hAnsi="Cambria"/>
          <w:u w:val="none"/>
        </w:rPr>
      </w:pPr>
      <w:r w:rsidRPr="006C3830">
        <w:rPr>
          <w:rFonts w:ascii="Cambria" w:hAnsi="Cambria"/>
          <w:u w:val="thick"/>
        </w:rPr>
        <w:t xml:space="preserve"> Background:</w:t>
      </w:r>
    </w:p>
    <w:p w14:paraId="5B9BFF24" w14:textId="10CCB7F0" w:rsidR="00063667" w:rsidRPr="006C3830" w:rsidRDefault="00BD545C" w:rsidP="006C3830">
      <w:pPr>
        <w:pStyle w:val="BodyText"/>
        <w:spacing w:before="184" w:line="360" w:lineRule="auto"/>
        <w:ind w:left="100" w:right="114"/>
        <w:jc w:val="both"/>
        <w:rPr>
          <w:rFonts w:ascii="Cambria" w:hAnsi="Cambria"/>
        </w:rPr>
      </w:pPr>
      <w:r w:rsidRPr="006C3830">
        <w:rPr>
          <w:rFonts w:ascii="Cambria" w:hAnsi="Cambria"/>
        </w:rPr>
        <w:t xml:space="preserve">RBI has issued final guidelines on Liquidity Risk Management Framework for Non-Banking Financial Companies and Core Investment Companies on November 04, 2019. As per the said guidelines, NBFC are required to publicly disclose the below information related to liquidity risk on a quarterly basis. Accordingly, the disclosure on liquidity risk as </w:t>
      </w:r>
      <w:r w:rsidR="001A6C5E" w:rsidRPr="006C3830">
        <w:rPr>
          <w:rFonts w:ascii="Cambria" w:hAnsi="Cambria"/>
        </w:rPr>
        <w:t>on</w:t>
      </w:r>
      <w:r w:rsidRPr="006C3830">
        <w:rPr>
          <w:rFonts w:ascii="Cambria" w:hAnsi="Cambria"/>
        </w:rPr>
        <w:t xml:space="preserve"> </w:t>
      </w:r>
      <w:r w:rsidR="002677A6">
        <w:rPr>
          <w:rFonts w:ascii="Cambria" w:hAnsi="Cambria"/>
        </w:rPr>
        <w:t>December 31</w:t>
      </w:r>
      <w:r w:rsidR="002677A6" w:rsidRPr="002677A6">
        <w:rPr>
          <w:rFonts w:ascii="Cambria" w:hAnsi="Cambria"/>
          <w:vertAlign w:val="superscript"/>
        </w:rPr>
        <w:t>st</w:t>
      </w:r>
      <w:r w:rsidRPr="006C3830">
        <w:rPr>
          <w:rFonts w:ascii="Cambria" w:hAnsi="Cambria"/>
        </w:rPr>
        <w:t>, 2020 is as under:</w:t>
      </w:r>
    </w:p>
    <w:p w14:paraId="0A97E837" w14:textId="77777777" w:rsidR="00063667" w:rsidRPr="006C3830" w:rsidRDefault="00BD545C" w:rsidP="006C3830">
      <w:pPr>
        <w:pStyle w:val="Heading1"/>
        <w:numPr>
          <w:ilvl w:val="0"/>
          <w:numId w:val="1"/>
        </w:numPr>
        <w:tabs>
          <w:tab w:val="left" w:pos="461"/>
        </w:tabs>
        <w:spacing w:before="156" w:line="360" w:lineRule="auto"/>
        <w:ind w:hanging="294"/>
        <w:jc w:val="left"/>
        <w:rPr>
          <w:rFonts w:ascii="Cambria" w:hAnsi="Cambria"/>
          <w:sz w:val="24"/>
          <w:u w:val="none"/>
        </w:rPr>
      </w:pPr>
      <w:r w:rsidRPr="006C3830">
        <w:rPr>
          <w:rFonts w:ascii="Cambria" w:hAnsi="Cambria"/>
          <w:u w:val="thick"/>
        </w:rPr>
        <w:t>Funding Concentration based on significant</w:t>
      </w:r>
      <w:r w:rsidRPr="006C3830">
        <w:rPr>
          <w:rFonts w:ascii="Cambria" w:hAnsi="Cambria"/>
          <w:spacing w:val="-3"/>
          <w:u w:val="thick"/>
        </w:rPr>
        <w:t xml:space="preserve"> </w:t>
      </w:r>
      <w:r w:rsidRPr="006C3830">
        <w:rPr>
          <w:rFonts w:ascii="Cambria" w:hAnsi="Cambria"/>
          <w:u w:val="thick"/>
        </w:rPr>
        <w:t>counterparty</w:t>
      </w:r>
    </w:p>
    <w:p w14:paraId="00B43B2F" w14:textId="77777777" w:rsidR="00063667" w:rsidRPr="006C3830" w:rsidRDefault="00063667" w:rsidP="006C3830">
      <w:pPr>
        <w:pStyle w:val="BodyText"/>
        <w:spacing w:before="6" w:line="360" w:lineRule="auto"/>
        <w:rPr>
          <w:rFonts w:ascii="Cambria" w:hAnsi="Cambria"/>
          <w:b/>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77"/>
        <w:gridCol w:w="1278"/>
        <w:gridCol w:w="1875"/>
        <w:gridCol w:w="1760"/>
      </w:tblGrid>
      <w:tr w:rsidR="00063667" w:rsidRPr="006C3830" w14:paraId="55062997" w14:textId="77777777">
        <w:trPr>
          <w:trHeight w:val="758"/>
        </w:trPr>
        <w:tc>
          <w:tcPr>
            <w:tcW w:w="852" w:type="dxa"/>
          </w:tcPr>
          <w:p w14:paraId="1D4F2C34" w14:textId="77777777" w:rsidR="00063667" w:rsidRPr="006C3830" w:rsidRDefault="00063667" w:rsidP="006C3830">
            <w:pPr>
              <w:pStyle w:val="TableParagraph"/>
              <w:spacing w:before="10" w:line="360" w:lineRule="auto"/>
              <w:ind w:left="0"/>
              <w:jc w:val="left"/>
              <w:rPr>
                <w:rFonts w:ascii="Cambria" w:hAnsi="Cambria"/>
                <w:b/>
                <w:sz w:val="21"/>
              </w:rPr>
            </w:pPr>
          </w:p>
          <w:p w14:paraId="015F8E3A" w14:textId="77777777" w:rsidR="00063667" w:rsidRPr="006C3830" w:rsidRDefault="00BD545C" w:rsidP="006C3830">
            <w:pPr>
              <w:pStyle w:val="TableParagraph"/>
              <w:spacing w:line="360" w:lineRule="auto"/>
              <w:ind w:left="278" w:right="250" w:hanging="3"/>
              <w:jc w:val="left"/>
              <w:rPr>
                <w:rFonts w:ascii="Cambria" w:hAnsi="Cambria"/>
                <w:b/>
              </w:rPr>
            </w:pPr>
            <w:r w:rsidRPr="006C3830">
              <w:rPr>
                <w:rFonts w:ascii="Cambria" w:hAnsi="Cambria"/>
                <w:b/>
              </w:rPr>
              <w:t>Sr. No</w:t>
            </w:r>
          </w:p>
        </w:tc>
        <w:tc>
          <w:tcPr>
            <w:tcW w:w="2977" w:type="dxa"/>
          </w:tcPr>
          <w:p w14:paraId="49E0030D" w14:textId="77777777" w:rsidR="00063667" w:rsidRPr="006C3830" w:rsidRDefault="00BD545C" w:rsidP="006C3830">
            <w:pPr>
              <w:pStyle w:val="TableParagraph"/>
              <w:spacing w:line="360" w:lineRule="auto"/>
              <w:ind w:left="702" w:right="322" w:hanging="363"/>
              <w:jc w:val="left"/>
              <w:rPr>
                <w:rFonts w:ascii="Cambria" w:hAnsi="Cambria"/>
                <w:b/>
              </w:rPr>
            </w:pPr>
            <w:r w:rsidRPr="006C3830">
              <w:rPr>
                <w:rFonts w:ascii="Cambria" w:hAnsi="Cambria"/>
                <w:b/>
              </w:rPr>
              <w:t>Number of Significant Counterparties</w:t>
            </w:r>
          </w:p>
        </w:tc>
        <w:tc>
          <w:tcPr>
            <w:tcW w:w="1278" w:type="dxa"/>
          </w:tcPr>
          <w:p w14:paraId="31E1DFDB" w14:textId="77777777" w:rsidR="00063667" w:rsidRPr="006C3830" w:rsidRDefault="00BD545C" w:rsidP="006C3830">
            <w:pPr>
              <w:pStyle w:val="TableParagraph"/>
              <w:spacing w:line="360" w:lineRule="auto"/>
              <w:ind w:left="196" w:right="171" w:firstLine="26"/>
              <w:jc w:val="left"/>
              <w:rPr>
                <w:rFonts w:ascii="Cambria" w:hAnsi="Cambria"/>
                <w:b/>
              </w:rPr>
            </w:pPr>
            <w:r w:rsidRPr="006C3830">
              <w:rPr>
                <w:rFonts w:ascii="Cambria" w:hAnsi="Cambria"/>
                <w:b/>
              </w:rPr>
              <w:t>Amount (₹ crore)</w:t>
            </w:r>
          </w:p>
        </w:tc>
        <w:tc>
          <w:tcPr>
            <w:tcW w:w="1875" w:type="dxa"/>
          </w:tcPr>
          <w:p w14:paraId="41559EE3" w14:textId="77777777" w:rsidR="00063667" w:rsidRPr="006C3830" w:rsidRDefault="00BD545C" w:rsidP="006C3830">
            <w:pPr>
              <w:pStyle w:val="TableParagraph"/>
              <w:spacing w:line="360" w:lineRule="auto"/>
              <w:ind w:left="483" w:right="385" w:hanging="75"/>
              <w:jc w:val="left"/>
              <w:rPr>
                <w:rFonts w:ascii="Cambria" w:hAnsi="Cambria"/>
                <w:b/>
              </w:rPr>
            </w:pPr>
            <w:r w:rsidRPr="006C3830">
              <w:rPr>
                <w:rFonts w:ascii="Cambria" w:hAnsi="Cambria"/>
                <w:b/>
              </w:rPr>
              <w:t>% of Total deposits</w:t>
            </w:r>
          </w:p>
        </w:tc>
        <w:tc>
          <w:tcPr>
            <w:tcW w:w="1760" w:type="dxa"/>
          </w:tcPr>
          <w:p w14:paraId="0CBD4B80" w14:textId="77777777" w:rsidR="00063667" w:rsidRPr="006C3830" w:rsidRDefault="00BD545C" w:rsidP="006C3830">
            <w:pPr>
              <w:pStyle w:val="TableParagraph"/>
              <w:spacing w:line="360" w:lineRule="auto"/>
              <w:ind w:left="370" w:right="328" w:hanging="20"/>
              <w:jc w:val="left"/>
              <w:rPr>
                <w:rFonts w:ascii="Cambria" w:hAnsi="Cambria"/>
                <w:b/>
              </w:rPr>
            </w:pPr>
            <w:r w:rsidRPr="006C3830">
              <w:rPr>
                <w:rFonts w:ascii="Cambria" w:hAnsi="Cambria"/>
                <w:b/>
              </w:rPr>
              <w:t>% of Total Liabilities</w:t>
            </w:r>
          </w:p>
        </w:tc>
      </w:tr>
      <w:tr w:rsidR="00AD1A15" w:rsidRPr="006C3830" w14:paraId="186BB26D" w14:textId="77777777" w:rsidTr="00221835">
        <w:trPr>
          <w:trHeight w:val="254"/>
        </w:trPr>
        <w:tc>
          <w:tcPr>
            <w:tcW w:w="852" w:type="dxa"/>
          </w:tcPr>
          <w:p w14:paraId="6876799E" w14:textId="77777777" w:rsidR="00AD1A15" w:rsidRPr="006C3830" w:rsidRDefault="00AD1A15" w:rsidP="00AD1A15">
            <w:pPr>
              <w:pStyle w:val="TableParagraph"/>
              <w:spacing w:line="360" w:lineRule="auto"/>
              <w:ind w:left="313" w:right="305"/>
              <w:rPr>
                <w:rFonts w:ascii="Cambria" w:hAnsi="Cambria"/>
              </w:rPr>
            </w:pPr>
            <w:r w:rsidRPr="006C3830">
              <w:rPr>
                <w:rFonts w:ascii="Cambria" w:hAnsi="Cambria"/>
              </w:rPr>
              <w:t>1.</w:t>
            </w:r>
          </w:p>
        </w:tc>
        <w:tc>
          <w:tcPr>
            <w:tcW w:w="2977" w:type="dxa"/>
            <w:vAlign w:val="center"/>
          </w:tcPr>
          <w:p w14:paraId="24249497" w14:textId="77777777" w:rsidR="00AD1A15" w:rsidRDefault="00AD1A15" w:rsidP="00AD1A15">
            <w:pPr>
              <w:jc w:val="center"/>
              <w:rPr>
                <w:rFonts w:ascii="Cambria" w:eastAsia="Times New Roman" w:hAnsi="Cambria" w:cs="Calibri"/>
                <w:color w:val="000000"/>
              </w:rPr>
            </w:pPr>
            <w:r>
              <w:rPr>
                <w:rFonts w:ascii="Cambria" w:hAnsi="Cambria" w:cs="Calibri"/>
                <w:color w:val="000000"/>
              </w:rPr>
              <w:t>15</w:t>
            </w:r>
          </w:p>
        </w:tc>
        <w:tc>
          <w:tcPr>
            <w:tcW w:w="1278" w:type="dxa"/>
            <w:vAlign w:val="center"/>
          </w:tcPr>
          <w:p w14:paraId="2A6537CD" w14:textId="1825D3BF" w:rsidR="00AD1A15" w:rsidRDefault="00AD1A15" w:rsidP="00AD1A15">
            <w:pPr>
              <w:rPr>
                <w:rFonts w:ascii="Cambria" w:hAnsi="Cambria" w:cs="Calibri"/>
                <w:color w:val="000000"/>
              </w:rPr>
            </w:pPr>
            <w:r>
              <w:rPr>
                <w:rFonts w:ascii="Cambria" w:hAnsi="Cambria" w:cs="Calibri"/>
                <w:color w:val="000000"/>
              </w:rPr>
              <w:t xml:space="preserve">    2,</w:t>
            </w:r>
            <w:r w:rsidR="001F1A84">
              <w:rPr>
                <w:rFonts w:ascii="Cambria" w:hAnsi="Cambria" w:cs="Calibri"/>
                <w:color w:val="000000"/>
              </w:rPr>
              <w:t>172</w:t>
            </w:r>
            <w:r>
              <w:rPr>
                <w:rFonts w:ascii="Cambria" w:hAnsi="Cambria" w:cs="Calibri"/>
                <w:color w:val="000000"/>
              </w:rPr>
              <w:t>.</w:t>
            </w:r>
            <w:r w:rsidR="001F1A84">
              <w:rPr>
                <w:rFonts w:ascii="Cambria" w:hAnsi="Cambria" w:cs="Calibri"/>
                <w:color w:val="000000"/>
              </w:rPr>
              <w:t>87</w:t>
            </w:r>
            <w:r>
              <w:rPr>
                <w:rFonts w:ascii="Cambria" w:hAnsi="Cambria" w:cs="Calibri"/>
                <w:color w:val="000000"/>
              </w:rPr>
              <w:t xml:space="preserve"> </w:t>
            </w:r>
          </w:p>
        </w:tc>
        <w:tc>
          <w:tcPr>
            <w:tcW w:w="1875" w:type="dxa"/>
            <w:vAlign w:val="center"/>
          </w:tcPr>
          <w:p w14:paraId="081A903D" w14:textId="77777777" w:rsidR="00AD1A15" w:rsidRDefault="00AD1A15" w:rsidP="00AD1A15">
            <w:pPr>
              <w:jc w:val="center"/>
              <w:rPr>
                <w:rFonts w:ascii="Cambria" w:hAnsi="Cambria" w:cs="Calibri"/>
                <w:color w:val="000000"/>
              </w:rPr>
            </w:pPr>
            <w:r>
              <w:rPr>
                <w:rFonts w:ascii="Cambria" w:hAnsi="Cambria" w:cs="Calibri"/>
                <w:color w:val="000000"/>
              </w:rPr>
              <w:t>0.00%</w:t>
            </w:r>
          </w:p>
        </w:tc>
        <w:tc>
          <w:tcPr>
            <w:tcW w:w="1760" w:type="dxa"/>
            <w:vAlign w:val="center"/>
          </w:tcPr>
          <w:p w14:paraId="7E1C22B0" w14:textId="42D98DF3" w:rsidR="00AD1A15" w:rsidRDefault="00AD1A15" w:rsidP="00AD1A15">
            <w:pPr>
              <w:jc w:val="center"/>
              <w:rPr>
                <w:rFonts w:ascii="Cambria" w:hAnsi="Cambria" w:cs="Calibri"/>
                <w:color w:val="000000"/>
              </w:rPr>
            </w:pPr>
            <w:r>
              <w:rPr>
                <w:rFonts w:ascii="Cambria" w:hAnsi="Cambria" w:cs="Calibri"/>
                <w:color w:val="000000"/>
              </w:rPr>
              <w:t>8</w:t>
            </w:r>
            <w:r w:rsidR="001F1A84">
              <w:rPr>
                <w:rFonts w:ascii="Cambria" w:hAnsi="Cambria" w:cs="Calibri"/>
                <w:color w:val="000000"/>
              </w:rPr>
              <w:t>0</w:t>
            </w:r>
            <w:r>
              <w:rPr>
                <w:rFonts w:ascii="Cambria" w:hAnsi="Cambria" w:cs="Calibri"/>
                <w:color w:val="000000"/>
              </w:rPr>
              <w:t>.</w:t>
            </w:r>
            <w:r w:rsidR="001F1A84">
              <w:rPr>
                <w:rFonts w:ascii="Cambria" w:hAnsi="Cambria" w:cs="Calibri"/>
                <w:color w:val="000000"/>
              </w:rPr>
              <w:t>03</w:t>
            </w:r>
            <w:r>
              <w:rPr>
                <w:rFonts w:ascii="Cambria" w:hAnsi="Cambria" w:cs="Calibri"/>
                <w:color w:val="000000"/>
              </w:rPr>
              <w:t>%</w:t>
            </w:r>
          </w:p>
        </w:tc>
      </w:tr>
    </w:tbl>
    <w:p w14:paraId="76A8B611" w14:textId="77777777" w:rsidR="00063667" w:rsidRPr="006C3830" w:rsidRDefault="00063667" w:rsidP="006C3830">
      <w:pPr>
        <w:pStyle w:val="BodyText"/>
        <w:spacing w:line="360" w:lineRule="auto"/>
        <w:rPr>
          <w:rFonts w:ascii="Cambria" w:hAnsi="Cambria"/>
          <w:b/>
          <w:sz w:val="26"/>
        </w:rPr>
      </w:pPr>
    </w:p>
    <w:p w14:paraId="415DAC67" w14:textId="77777777" w:rsidR="00063667" w:rsidRPr="006C3830" w:rsidRDefault="00BD545C" w:rsidP="006C3830">
      <w:pPr>
        <w:pStyle w:val="BodyText"/>
        <w:spacing w:before="226" w:line="360" w:lineRule="auto"/>
        <w:ind w:left="167"/>
        <w:rPr>
          <w:rFonts w:ascii="Cambria" w:hAnsi="Cambria"/>
        </w:rPr>
      </w:pPr>
      <w:r w:rsidRPr="006C3830">
        <w:rPr>
          <w:rFonts w:ascii="Cambria" w:hAnsi="Cambria"/>
          <w:b/>
          <w:u w:val="single"/>
        </w:rPr>
        <w:t>Notes</w:t>
      </w:r>
      <w:r w:rsidRPr="006C3830">
        <w:rPr>
          <w:rFonts w:ascii="Cambria" w:hAnsi="Cambria"/>
        </w:rPr>
        <w:t>:</w:t>
      </w:r>
    </w:p>
    <w:p w14:paraId="41ABB992" w14:textId="77777777" w:rsidR="00063667" w:rsidRPr="006C3830" w:rsidRDefault="00BD545C" w:rsidP="006C3830">
      <w:pPr>
        <w:pStyle w:val="ListParagraph"/>
        <w:numPr>
          <w:ilvl w:val="1"/>
          <w:numId w:val="1"/>
        </w:numPr>
        <w:tabs>
          <w:tab w:val="left" w:pos="821"/>
        </w:tabs>
        <w:spacing w:line="360" w:lineRule="auto"/>
        <w:ind w:right="114"/>
        <w:jc w:val="both"/>
        <w:rPr>
          <w:rFonts w:ascii="Cambria" w:hAnsi="Cambria"/>
        </w:rPr>
      </w:pPr>
      <w:r w:rsidRPr="006C3830">
        <w:rPr>
          <w:rFonts w:ascii="Cambria" w:hAnsi="Cambria"/>
        </w:rPr>
        <w:t>A “Significant counterparty” is defined as a single counterparty or group of connected or affiliated counterparties accounting in aggregate for more than 1% of the NBFC- NDSI's, NBFC-Ds total liabilities and 10% for other non-deposit taking</w:t>
      </w:r>
      <w:r w:rsidRPr="006C3830">
        <w:rPr>
          <w:rFonts w:ascii="Cambria" w:hAnsi="Cambria"/>
          <w:spacing w:val="-16"/>
        </w:rPr>
        <w:t xml:space="preserve"> </w:t>
      </w:r>
      <w:r w:rsidRPr="006C3830">
        <w:rPr>
          <w:rFonts w:ascii="Cambria" w:hAnsi="Cambria"/>
        </w:rPr>
        <w:t>NBFCs</w:t>
      </w:r>
      <w:r w:rsidR="001A6C5E" w:rsidRPr="006C3830">
        <w:rPr>
          <w:rFonts w:ascii="Cambria" w:hAnsi="Cambria"/>
        </w:rPr>
        <w:t>.</w:t>
      </w:r>
    </w:p>
    <w:p w14:paraId="73FADAD2" w14:textId="77777777" w:rsidR="001A6C5E" w:rsidRPr="006C3830" w:rsidRDefault="001A6C5E" w:rsidP="006C3830">
      <w:pPr>
        <w:pStyle w:val="ListParagraph"/>
        <w:tabs>
          <w:tab w:val="left" w:pos="821"/>
        </w:tabs>
        <w:spacing w:line="360" w:lineRule="auto"/>
        <w:ind w:right="114" w:firstLine="0"/>
        <w:jc w:val="right"/>
        <w:rPr>
          <w:rFonts w:ascii="Cambria" w:hAnsi="Cambria"/>
        </w:rPr>
      </w:pPr>
    </w:p>
    <w:p w14:paraId="79A9A0BF" w14:textId="77777777" w:rsidR="00063667" w:rsidRPr="006C3830" w:rsidRDefault="00BD545C" w:rsidP="006C3830">
      <w:pPr>
        <w:pStyle w:val="ListParagraph"/>
        <w:numPr>
          <w:ilvl w:val="1"/>
          <w:numId w:val="1"/>
        </w:numPr>
        <w:tabs>
          <w:tab w:val="left" w:pos="821"/>
        </w:tabs>
        <w:spacing w:before="2" w:line="360" w:lineRule="auto"/>
        <w:ind w:right="120"/>
        <w:jc w:val="both"/>
        <w:rPr>
          <w:rFonts w:ascii="Cambria" w:hAnsi="Cambria"/>
        </w:rPr>
      </w:pPr>
      <w:r w:rsidRPr="006C3830">
        <w:rPr>
          <w:rFonts w:ascii="Cambria" w:hAnsi="Cambria"/>
        </w:rPr>
        <w:t xml:space="preserve">Total Liabilities has been computed as Total Assets </w:t>
      </w:r>
      <w:proofErr w:type="gramStart"/>
      <w:r w:rsidRPr="006C3830">
        <w:rPr>
          <w:rFonts w:ascii="Cambria" w:hAnsi="Cambria"/>
        </w:rPr>
        <w:t>less</w:t>
      </w:r>
      <w:proofErr w:type="gramEnd"/>
      <w:r w:rsidRPr="006C3830">
        <w:rPr>
          <w:rFonts w:ascii="Cambria" w:hAnsi="Cambria"/>
        </w:rPr>
        <w:t xml:space="preserve"> Equity share capital less Reserve &amp; Surplus and computed basis extant regulatory ALM</w:t>
      </w:r>
      <w:r w:rsidRPr="006C3830">
        <w:rPr>
          <w:rFonts w:ascii="Cambria" w:hAnsi="Cambria"/>
          <w:spacing w:val="-15"/>
        </w:rPr>
        <w:t xml:space="preserve"> </w:t>
      </w:r>
      <w:r w:rsidRPr="006C3830">
        <w:rPr>
          <w:rFonts w:ascii="Cambria" w:hAnsi="Cambria"/>
        </w:rPr>
        <w:t>guidelines</w:t>
      </w:r>
    </w:p>
    <w:p w14:paraId="7B88C654" w14:textId="77777777" w:rsidR="00063667" w:rsidRPr="006C3830" w:rsidRDefault="00063667" w:rsidP="006C3830">
      <w:pPr>
        <w:pStyle w:val="BodyText"/>
        <w:spacing w:before="11" w:line="360" w:lineRule="auto"/>
        <w:rPr>
          <w:rFonts w:ascii="Cambria" w:hAnsi="Cambria"/>
          <w:sz w:val="23"/>
        </w:rPr>
      </w:pPr>
    </w:p>
    <w:p w14:paraId="492D89F6" w14:textId="77777777" w:rsidR="00063667" w:rsidRPr="006C3830" w:rsidRDefault="00BD545C" w:rsidP="006C3830">
      <w:pPr>
        <w:pStyle w:val="ListParagraph"/>
        <w:numPr>
          <w:ilvl w:val="0"/>
          <w:numId w:val="1"/>
        </w:numPr>
        <w:tabs>
          <w:tab w:val="left" w:pos="432"/>
        </w:tabs>
        <w:spacing w:line="360" w:lineRule="auto"/>
        <w:ind w:left="431" w:hanging="332"/>
        <w:jc w:val="left"/>
        <w:rPr>
          <w:rFonts w:ascii="Cambria" w:hAnsi="Cambria"/>
        </w:rPr>
      </w:pPr>
      <w:r w:rsidRPr="006C3830">
        <w:rPr>
          <w:rFonts w:ascii="Cambria" w:hAnsi="Cambria"/>
          <w:spacing w:val="-56"/>
          <w:u w:val="thick"/>
        </w:rPr>
        <w:t xml:space="preserve"> </w:t>
      </w:r>
      <w:r w:rsidRPr="006C3830">
        <w:rPr>
          <w:rFonts w:ascii="Cambria" w:hAnsi="Cambria"/>
          <w:b/>
          <w:u w:val="thick"/>
        </w:rPr>
        <w:t xml:space="preserve">Top 20 large deposits (amount </w:t>
      </w:r>
      <w:proofErr w:type="gramStart"/>
      <w:r w:rsidRPr="006C3830">
        <w:rPr>
          <w:rFonts w:ascii="Cambria" w:hAnsi="Cambria"/>
          <w:b/>
          <w:u w:val="thick"/>
        </w:rPr>
        <w:t>in ₹ crore</w:t>
      </w:r>
      <w:proofErr w:type="gramEnd"/>
      <w:r w:rsidRPr="006C3830">
        <w:rPr>
          <w:rFonts w:ascii="Cambria" w:hAnsi="Cambria"/>
          <w:b/>
          <w:u w:val="thick"/>
        </w:rPr>
        <w:t xml:space="preserve"> and % of total deposits)</w:t>
      </w:r>
      <w:r w:rsidRPr="006C3830">
        <w:rPr>
          <w:rFonts w:ascii="Cambria" w:hAnsi="Cambria"/>
          <w:b/>
        </w:rPr>
        <w:t xml:space="preserve"> </w:t>
      </w:r>
      <w:r w:rsidRPr="006C3830">
        <w:rPr>
          <w:rFonts w:ascii="Cambria" w:hAnsi="Cambria"/>
        </w:rPr>
        <w:t>– Not</w:t>
      </w:r>
      <w:r w:rsidRPr="006C3830">
        <w:rPr>
          <w:rFonts w:ascii="Cambria" w:hAnsi="Cambria"/>
          <w:spacing w:val="-28"/>
        </w:rPr>
        <w:t xml:space="preserve"> </w:t>
      </w:r>
      <w:r w:rsidRPr="006C3830">
        <w:rPr>
          <w:rFonts w:ascii="Cambria" w:hAnsi="Cambria"/>
        </w:rPr>
        <w:t>Applicable</w:t>
      </w:r>
    </w:p>
    <w:p w14:paraId="73128F89" w14:textId="77777777" w:rsidR="00063667" w:rsidRDefault="00063667" w:rsidP="006C3830">
      <w:pPr>
        <w:pStyle w:val="BodyText"/>
        <w:spacing w:before="9" w:line="360" w:lineRule="auto"/>
        <w:rPr>
          <w:rFonts w:ascii="Cambria" w:hAnsi="Cambria"/>
          <w:sz w:val="15"/>
        </w:rPr>
      </w:pPr>
    </w:p>
    <w:p w14:paraId="2A196D90" w14:textId="77777777" w:rsidR="006C3830" w:rsidRDefault="006C3830" w:rsidP="006C3830">
      <w:pPr>
        <w:pStyle w:val="BodyText"/>
        <w:spacing w:before="9" w:line="360" w:lineRule="auto"/>
        <w:rPr>
          <w:rFonts w:ascii="Cambria" w:hAnsi="Cambria"/>
          <w:sz w:val="15"/>
        </w:rPr>
      </w:pPr>
    </w:p>
    <w:p w14:paraId="2C8CEB48" w14:textId="77777777" w:rsidR="006C3830" w:rsidRDefault="006C3830" w:rsidP="006C3830">
      <w:pPr>
        <w:pStyle w:val="BodyText"/>
        <w:spacing w:before="9" w:line="360" w:lineRule="auto"/>
        <w:rPr>
          <w:rFonts w:ascii="Cambria" w:hAnsi="Cambria"/>
          <w:sz w:val="15"/>
        </w:rPr>
      </w:pPr>
    </w:p>
    <w:p w14:paraId="352AE4F3" w14:textId="77777777" w:rsidR="006C3830" w:rsidRDefault="006C3830" w:rsidP="006C3830">
      <w:pPr>
        <w:pStyle w:val="BodyText"/>
        <w:spacing w:before="9" w:line="360" w:lineRule="auto"/>
        <w:rPr>
          <w:rFonts w:ascii="Cambria" w:hAnsi="Cambria"/>
          <w:sz w:val="15"/>
        </w:rPr>
      </w:pPr>
    </w:p>
    <w:p w14:paraId="499E162B" w14:textId="77777777" w:rsidR="006C3830" w:rsidRDefault="006C3830" w:rsidP="006C3830">
      <w:pPr>
        <w:pStyle w:val="BodyText"/>
        <w:spacing w:before="9" w:line="360" w:lineRule="auto"/>
        <w:rPr>
          <w:rFonts w:ascii="Cambria" w:hAnsi="Cambria"/>
          <w:sz w:val="15"/>
        </w:rPr>
      </w:pPr>
    </w:p>
    <w:p w14:paraId="50C54BEF" w14:textId="77777777" w:rsidR="006C3830" w:rsidRDefault="006C3830" w:rsidP="006C3830">
      <w:pPr>
        <w:pStyle w:val="BodyText"/>
        <w:spacing w:before="9" w:line="360" w:lineRule="auto"/>
        <w:rPr>
          <w:rFonts w:ascii="Cambria" w:hAnsi="Cambria"/>
          <w:sz w:val="15"/>
        </w:rPr>
      </w:pPr>
    </w:p>
    <w:p w14:paraId="3BFEE146" w14:textId="77777777" w:rsidR="006C3830" w:rsidRPr="006C3830" w:rsidRDefault="006C3830" w:rsidP="006C3830">
      <w:pPr>
        <w:pStyle w:val="BodyText"/>
        <w:spacing w:before="9" w:line="360" w:lineRule="auto"/>
        <w:rPr>
          <w:rFonts w:ascii="Cambria" w:hAnsi="Cambria"/>
          <w:sz w:val="15"/>
        </w:rPr>
      </w:pPr>
    </w:p>
    <w:p w14:paraId="3C14FEEA" w14:textId="77777777" w:rsidR="00063667" w:rsidRPr="006C3830" w:rsidRDefault="00BD545C" w:rsidP="006C3830">
      <w:pPr>
        <w:pStyle w:val="Heading1"/>
        <w:numPr>
          <w:ilvl w:val="0"/>
          <w:numId w:val="1"/>
        </w:numPr>
        <w:tabs>
          <w:tab w:val="left" w:pos="495"/>
        </w:tabs>
        <w:spacing w:before="93" w:line="360" w:lineRule="auto"/>
        <w:ind w:left="494" w:hanging="395"/>
        <w:jc w:val="left"/>
        <w:rPr>
          <w:rFonts w:ascii="Cambria" w:hAnsi="Cambria"/>
          <w:u w:val="none"/>
        </w:rPr>
      </w:pPr>
      <w:r w:rsidRPr="006C3830">
        <w:rPr>
          <w:rFonts w:ascii="Cambria" w:hAnsi="Cambria"/>
          <w:u w:val="thick"/>
        </w:rPr>
        <w:t>Top 10</w:t>
      </w:r>
      <w:r w:rsidRPr="006C3830">
        <w:rPr>
          <w:rFonts w:ascii="Cambria" w:hAnsi="Cambria"/>
          <w:spacing w:val="-1"/>
          <w:u w:val="thick"/>
        </w:rPr>
        <w:t xml:space="preserve"> </w:t>
      </w:r>
      <w:r w:rsidRPr="006C3830">
        <w:rPr>
          <w:rFonts w:ascii="Cambria" w:hAnsi="Cambria"/>
          <w:u w:val="thick"/>
        </w:rPr>
        <w:t>borrowings</w:t>
      </w:r>
    </w:p>
    <w:p w14:paraId="0C843199" w14:textId="77777777" w:rsidR="00063667" w:rsidRPr="006C3830" w:rsidRDefault="00063667" w:rsidP="006C3830">
      <w:pPr>
        <w:pStyle w:val="BodyText"/>
        <w:spacing w:before="5" w:after="1" w:line="360" w:lineRule="auto"/>
        <w:rPr>
          <w:rFonts w:ascii="Cambria" w:hAnsi="Cambria"/>
          <w:b/>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253"/>
      </w:tblGrid>
      <w:tr w:rsidR="00063667" w:rsidRPr="006C3830" w14:paraId="6AC1D9DD" w14:textId="77777777">
        <w:trPr>
          <w:trHeight w:val="479"/>
        </w:trPr>
        <w:tc>
          <w:tcPr>
            <w:tcW w:w="4253" w:type="dxa"/>
          </w:tcPr>
          <w:p w14:paraId="466F8536" w14:textId="77777777" w:rsidR="00063667" w:rsidRPr="006C3830" w:rsidRDefault="00BD545C" w:rsidP="006C3830">
            <w:pPr>
              <w:pStyle w:val="TableParagraph"/>
              <w:spacing w:before="110" w:line="360" w:lineRule="auto"/>
              <w:ind w:left="937" w:right="929"/>
              <w:rPr>
                <w:rFonts w:ascii="Cambria" w:hAnsi="Cambria"/>
                <w:b/>
              </w:rPr>
            </w:pPr>
            <w:r w:rsidRPr="006C3830">
              <w:rPr>
                <w:rFonts w:ascii="Cambria" w:hAnsi="Cambria"/>
                <w:b/>
              </w:rPr>
              <w:t>Amount (₹ crore)</w:t>
            </w:r>
          </w:p>
        </w:tc>
        <w:tc>
          <w:tcPr>
            <w:tcW w:w="4253" w:type="dxa"/>
          </w:tcPr>
          <w:p w14:paraId="3F563F29" w14:textId="77777777" w:rsidR="00063667" w:rsidRPr="006C3830" w:rsidRDefault="00BD545C" w:rsidP="006C3830">
            <w:pPr>
              <w:pStyle w:val="TableParagraph"/>
              <w:spacing w:before="110" w:line="360" w:lineRule="auto"/>
              <w:ind w:left="938" w:right="929"/>
              <w:rPr>
                <w:rFonts w:ascii="Cambria" w:hAnsi="Cambria"/>
                <w:b/>
              </w:rPr>
            </w:pPr>
            <w:r w:rsidRPr="006C3830">
              <w:rPr>
                <w:rFonts w:ascii="Cambria" w:hAnsi="Cambria"/>
                <w:b/>
              </w:rPr>
              <w:t>% of Total Borrowings</w:t>
            </w:r>
          </w:p>
        </w:tc>
      </w:tr>
      <w:tr w:rsidR="00AD1A15" w:rsidRPr="006C3830" w14:paraId="67F89EFB" w14:textId="77777777" w:rsidTr="00AF75CF">
        <w:trPr>
          <w:trHeight w:val="302"/>
        </w:trPr>
        <w:tc>
          <w:tcPr>
            <w:tcW w:w="4253" w:type="dxa"/>
            <w:vAlign w:val="center"/>
          </w:tcPr>
          <w:p w14:paraId="29CFE88D" w14:textId="461F5FFC" w:rsidR="00AD1A15" w:rsidRDefault="00AD1A15" w:rsidP="00AD1A15">
            <w:pPr>
              <w:jc w:val="center"/>
              <w:rPr>
                <w:rFonts w:ascii="Cambria" w:eastAsia="Times New Roman" w:hAnsi="Cambria" w:cs="Calibri"/>
                <w:color w:val="000000"/>
              </w:rPr>
            </w:pPr>
            <w:r>
              <w:rPr>
                <w:rFonts w:ascii="Cambria" w:hAnsi="Cambria" w:cs="Calibri"/>
                <w:color w:val="000000"/>
              </w:rPr>
              <w:t xml:space="preserve">             </w:t>
            </w:r>
            <w:r w:rsidR="001F1A84">
              <w:rPr>
                <w:rFonts w:ascii="Cambria" w:hAnsi="Cambria" w:cs="Calibri"/>
                <w:color w:val="000000"/>
              </w:rPr>
              <w:t>1,927.65</w:t>
            </w:r>
          </w:p>
        </w:tc>
        <w:tc>
          <w:tcPr>
            <w:tcW w:w="4253" w:type="dxa"/>
            <w:vAlign w:val="center"/>
          </w:tcPr>
          <w:p w14:paraId="281926F7" w14:textId="00A1AD6D" w:rsidR="00AD1A15" w:rsidRDefault="00AD1A15" w:rsidP="00AD1A15">
            <w:pPr>
              <w:jc w:val="center"/>
              <w:rPr>
                <w:rFonts w:ascii="Cambria" w:hAnsi="Cambria" w:cs="Calibri"/>
                <w:color w:val="000000"/>
              </w:rPr>
            </w:pPr>
            <w:r>
              <w:rPr>
                <w:rFonts w:ascii="Cambria" w:hAnsi="Cambria" w:cs="Calibri"/>
                <w:color w:val="000000"/>
              </w:rPr>
              <w:t>80.</w:t>
            </w:r>
            <w:r w:rsidR="001F1A84">
              <w:rPr>
                <w:rFonts w:ascii="Cambria" w:hAnsi="Cambria" w:cs="Calibri"/>
                <w:color w:val="000000"/>
              </w:rPr>
              <w:t>89</w:t>
            </w:r>
            <w:r>
              <w:rPr>
                <w:rFonts w:ascii="Cambria" w:hAnsi="Cambria" w:cs="Calibri"/>
                <w:color w:val="000000"/>
              </w:rPr>
              <w:t>%</w:t>
            </w:r>
          </w:p>
        </w:tc>
      </w:tr>
    </w:tbl>
    <w:p w14:paraId="47F7E770" w14:textId="77777777" w:rsidR="00063667" w:rsidRPr="006C3830" w:rsidRDefault="00063667" w:rsidP="006C3830">
      <w:pPr>
        <w:pStyle w:val="BodyText"/>
        <w:spacing w:before="9" w:line="360" w:lineRule="auto"/>
        <w:rPr>
          <w:rFonts w:ascii="Cambria" w:hAnsi="Cambria"/>
          <w:b/>
          <w:sz w:val="23"/>
        </w:rPr>
      </w:pPr>
    </w:p>
    <w:p w14:paraId="0C768EE1" w14:textId="77777777" w:rsidR="00063667" w:rsidRPr="006C3830" w:rsidRDefault="00BD545C" w:rsidP="006C3830">
      <w:pPr>
        <w:pStyle w:val="BodyText"/>
        <w:spacing w:line="360" w:lineRule="auto"/>
        <w:ind w:left="167"/>
        <w:rPr>
          <w:rFonts w:ascii="Cambria" w:hAnsi="Cambria"/>
        </w:rPr>
      </w:pPr>
      <w:r w:rsidRPr="006C3830">
        <w:rPr>
          <w:rFonts w:ascii="Cambria" w:hAnsi="Cambria"/>
        </w:rPr>
        <w:t>Note:</w:t>
      </w:r>
    </w:p>
    <w:p w14:paraId="3B540363" w14:textId="77777777" w:rsidR="00063667" w:rsidRPr="006C3830" w:rsidRDefault="00BD545C" w:rsidP="006C3830">
      <w:pPr>
        <w:pStyle w:val="ListParagraph"/>
        <w:numPr>
          <w:ilvl w:val="1"/>
          <w:numId w:val="1"/>
        </w:numPr>
        <w:tabs>
          <w:tab w:val="left" w:pos="820"/>
          <w:tab w:val="left" w:pos="821"/>
        </w:tabs>
        <w:spacing w:line="360" w:lineRule="auto"/>
        <w:ind w:right="117"/>
        <w:rPr>
          <w:rFonts w:ascii="Cambria" w:hAnsi="Cambria"/>
        </w:rPr>
      </w:pPr>
      <w:r w:rsidRPr="006C3830">
        <w:rPr>
          <w:rFonts w:ascii="Cambria" w:hAnsi="Cambria"/>
        </w:rPr>
        <w:t>Total</w:t>
      </w:r>
      <w:r w:rsidRPr="006C3830">
        <w:rPr>
          <w:rFonts w:ascii="Cambria" w:hAnsi="Cambria"/>
          <w:spacing w:val="-5"/>
        </w:rPr>
        <w:t xml:space="preserve"> </w:t>
      </w:r>
      <w:r w:rsidRPr="006C3830">
        <w:rPr>
          <w:rFonts w:ascii="Cambria" w:hAnsi="Cambria"/>
        </w:rPr>
        <w:t>Borrowing</w:t>
      </w:r>
      <w:r w:rsidRPr="006C3830">
        <w:rPr>
          <w:rFonts w:ascii="Cambria" w:hAnsi="Cambria"/>
          <w:spacing w:val="-1"/>
        </w:rPr>
        <w:t xml:space="preserve"> </w:t>
      </w:r>
      <w:r w:rsidRPr="006C3830">
        <w:rPr>
          <w:rFonts w:ascii="Cambria" w:hAnsi="Cambria"/>
        </w:rPr>
        <w:t>has</w:t>
      </w:r>
      <w:r w:rsidRPr="006C3830">
        <w:rPr>
          <w:rFonts w:ascii="Cambria" w:hAnsi="Cambria"/>
          <w:spacing w:val="-5"/>
        </w:rPr>
        <w:t xml:space="preserve"> </w:t>
      </w:r>
      <w:r w:rsidRPr="006C3830">
        <w:rPr>
          <w:rFonts w:ascii="Cambria" w:hAnsi="Cambria"/>
        </w:rPr>
        <w:t>been</w:t>
      </w:r>
      <w:r w:rsidRPr="006C3830">
        <w:rPr>
          <w:rFonts w:ascii="Cambria" w:hAnsi="Cambria"/>
          <w:spacing w:val="-3"/>
        </w:rPr>
        <w:t xml:space="preserve"> </w:t>
      </w:r>
      <w:r w:rsidRPr="006C3830">
        <w:rPr>
          <w:rFonts w:ascii="Cambria" w:hAnsi="Cambria"/>
        </w:rPr>
        <w:t>computed</w:t>
      </w:r>
      <w:r w:rsidRPr="006C3830">
        <w:rPr>
          <w:rFonts w:ascii="Cambria" w:hAnsi="Cambria"/>
          <w:spacing w:val="-6"/>
        </w:rPr>
        <w:t xml:space="preserve"> </w:t>
      </w:r>
      <w:r w:rsidRPr="006C3830">
        <w:rPr>
          <w:rFonts w:ascii="Cambria" w:hAnsi="Cambria"/>
        </w:rPr>
        <w:t>as</w:t>
      </w:r>
      <w:r w:rsidRPr="006C3830">
        <w:rPr>
          <w:rFonts w:ascii="Cambria" w:hAnsi="Cambria"/>
          <w:spacing w:val="-5"/>
        </w:rPr>
        <w:t xml:space="preserve"> </w:t>
      </w:r>
      <w:r w:rsidRPr="006C3830">
        <w:rPr>
          <w:rFonts w:ascii="Cambria" w:hAnsi="Cambria"/>
        </w:rPr>
        <w:t>Gross</w:t>
      </w:r>
      <w:r w:rsidRPr="006C3830">
        <w:rPr>
          <w:rFonts w:ascii="Cambria" w:hAnsi="Cambria"/>
          <w:spacing w:val="-9"/>
        </w:rPr>
        <w:t xml:space="preserve"> </w:t>
      </w:r>
      <w:r w:rsidRPr="006C3830">
        <w:rPr>
          <w:rFonts w:ascii="Cambria" w:hAnsi="Cambria"/>
        </w:rPr>
        <w:t>Total</w:t>
      </w:r>
      <w:r w:rsidRPr="006C3830">
        <w:rPr>
          <w:rFonts w:ascii="Cambria" w:hAnsi="Cambria"/>
          <w:spacing w:val="-4"/>
        </w:rPr>
        <w:t xml:space="preserve"> </w:t>
      </w:r>
      <w:r w:rsidRPr="006C3830">
        <w:rPr>
          <w:rFonts w:ascii="Cambria" w:hAnsi="Cambria"/>
        </w:rPr>
        <w:t>Debt</w:t>
      </w:r>
      <w:r w:rsidRPr="006C3830">
        <w:rPr>
          <w:rFonts w:ascii="Cambria" w:hAnsi="Cambria"/>
          <w:spacing w:val="-4"/>
        </w:rPr>
        <w:t xml:space="preserve"> </w:t>
      </w:r>
      <w:r w:rsidRPr="006C3830">
        <w:rPr>
          <w:rFonts w:ascii="Cambria" w:hAnsi="Cambria"/>
        </w:rPr>
        <w:t>basis</w:t>
      </w:r>
      <w:r w:rsidRPr="006C3830">
        <w:rPr>
          <w:rFonts w:ascii="Cambria" w:hAnsi="Cambria"/>
          <w:spacing w:val="-5"/>
        </w:rPr>
        <w:t xml:space="preserve"> </w:t>
      </w:r>
      <w:r w:rsidRPr="006C3830">
        <w:rPr>
          <w:rFonts w:ascii="Cambria" w:hAnsi="Cambria"/>
        </w:rPr>
        <w:t>extant</w:t>
      </w:r>
      <w:r w:rsidRPr="006C3830">
        <w:rPr>
          <w:rFonts w:ascii="Cambria" w:hAnsi="Cambria"/>
          <w:spacing w:val="-4"/>
        </w:rPr>
        <w:t xml:space="preserve"> </w:t>
      </w:r>
      <w:r w:rsidRPr="006C3830">
        <w:rPr>
          <w:rFonts w:ascii="Cambria" w:hAnsi="Cambria"/>
        </w:rPr>
        <w:t>regulatory</w:t>
      </w:r>
      <w:r w:rsidRPr="006C3830">
        <w:rPr>
          <w:rFonts w:ascii="Cambria" w:hAnsi="Cambria"/>
          <w:spacing w:val="-5"/>
        </w:rPr>
        <w:t xml:space="preserve"> </w:t>
      </w:r>
      <w:r w:rsidRPr="006C3830">
        <w:rPr>
          <w:rFonts w:ascii="Cambria" w:hAnsi="Cambria"/>
        </w:rPr>
        <w:t>ALM guidelines.</w:t>
      </w:r>
    </w:p>
    <w:p w14:paraId="2112C8E7" w14:textId="77777777" w:rsidR="006C3830" w:rsidRPr="006C3830" w:rsidRDefault="006C3830" w:rsidP="006C3830">
      <w:pPr>
        <w:pStyle w:val="BodyText"/>
        <w:spacing w:before="7" w:line="360" w:lineRule="auto"/>
        <w:rPr>
          <w:rFonts w:ascii="Cambria" w:hAnsi="Cambria"/>
          <w:sz w:val="23"/>
        </w:rPr>
      </w:pPr>
    </w:p>
    <w:p w14:paraId="68B21AE2" w14:textId="77777777" w:rsidR="00063667" w:rsidRPr="006C3830" w:rsidRDefault="00BD545C" w:rsidP="006C3830">
      <w:pPr>
        <w:pStyle w:val="Heading1"/>
        <w:numPr>
          <w:ilvl w:val="0"/>
          <w:numId w:val="1"/>
        </w:numPr>
        <w:tabs>
          <w:tab w:val="left" w:pos="494"/>
        </w:tabs>
        <w:spacing w:line="360" w:lineRule="auto"/>
        <w:ind w:left="493" w:hanging="394"/>
        <w:jc w:val="left"/>
        <w:rPr>
          <w:rFonts w:ascii="Cambria" w:hAnsi="Cambria"/>
          <w:u w:val="none"/>
        </w:rPr>
      </w:pPr>
      <w:r w:rsidRPr="006C3830">
        <w:rPr>
          <w:rFonts w:ascii="Cambria" w:hAnsi="Cambria"/>
          <w:u w:val="none"/>
        </w:rPr>
        <w:t>Funding Concentration based on significant instrument /</w:t>
      </w:r>
      <w:r w:rsidRPr="006C3830">
        <w:rPr>
          <w:rFonts w:ascii="Cambria" w:hAnsi="Cambria"/>
          <w:spacing w:val="-11"/>
          <w:u w:val="none"/>
        </w:rPr>
        <w:t xml:space="preserve"> </w:t>
      </w:r>
      <w:r w:rsidRPr="006C3830">
        <w:rPr>
          <w:rFonts w:ascii="Cambria" w:hAnsi="Cambria"/>
          <w:u w:val="none"/>
        </w:rPr>
        <w:t>product</w:t>
      </w: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833"/>
        <w:gridCol w:w="2269"/>
        <w:gridCol w:w="2411"/>
      </w:tblGrid>
      <w:tr w:rsidR="00063667" w:rsidRPr="006C3830" w14:paraId="7690B7E4" w14:textId="77777777">
        <w:trPr>
          <w:trHeight w:val="505"/>
        </w:trPr>
        <w:tc>
          <w:tcPr>
            <w:tcW w:w="996" w:type="dxa"/>
          </w:tcPr>
          <w:p w14:paraId="13BE4F8F" w14:textId="77777777" w:rsidR="00063667" w:rsidRPr="006C3830" w:rsidRDefault="00BD545C" w:rsidP="006C3830">
            <w:pPr>
              <w:pStyle w:val="TableParagraph"/>
              <w:spacing w:before="122" w:line="360" w:lineRule="auto"/>
              <w:ind w:left="123" w:right="113"/>
              <w:rPr>
                <w:rFonts w:ascii="Cambria" w:hAnsi="Cambria"/>
                <w:b/>
              </w:rPr>
            </w:pPr>
            <w:r w:rsidRPr="006C3830">
              <w:rPr>
                <w:rFonts w:ascii="Cambria" w:hAnsi="Cambria"/>
                <w:b/>
              </w:rPr>
              <w:t>Sr. No.</w:t>
            </w:r>
          </w:p>
        </w:tc>
        <w:tc>
          <w:tcPr>
            <w:tcW w:w="2833" w:type="dxa"/>
          </w:tcPr>
          <w:p w14:paraId="06FED34E" w14:textId="77777777" w:rsidR="00063667" w:rsidRPr="006C3830" w:rsidRDefault="00BD545C" w:rsidP="006C3830">
            <w:pPr>
              <w:pStyle w:val="TableParagraph"/>
              <w:spacing w:line="360" w:lineRule="auto"/>
              <w:ind w:left="387" w:right="378"/>
              <w:rPr>
                <w:rFonts w:ascii="Cambria" w:hAnsi="Cambria"/>
                <w:b/>
              </w:rPr>
            </w:pPr>
            <w:r w:rsidRPr="006C3830">
              <w:rPr>
                <w:rFonts w:ascii="Cambria" w:hAnsi="Cambria"/>
                <w:b/>
              </w:rPr>
              <w:t>Name of the</w:t>
            </w:r>
          </w:p>
          <w:p w14:paraId="78FD0D35" w14:textId="77777777" w:rsidR="00063667" w:rsidRPr="006C3830" w:rsidRDefault="00BD545C" w:rsidP="006C3830">
            <w:pPr>
              <w:pStyle w:val="TableParagraph"/>
              <w:spacing w:line="360" w:lineRule="auto"/>
              <w:ind w:left="387" w:right="378"/>
              <w:rPr>
                <w:rFonts w:ascii="Cambria" w:hAnsi="Cambria"/>
                <w:b/>
              </w:rPr>
            </w:pPr>
            <w:r w:rsidRPr="006C3830">
              <w:rPr>
                <w:rFonts w:ascii="Cambria" w:hAnsi="Cambria"/>
                <w:b/>
              </w:rPr>
              <w:t>instrument/product</w:t>
            </w:r>
          </w:p>
        </w:tc>
        <w:tc>
          <w:tcPr>
            <w:tcW w:w="2269" w:type="dxa"/>
          </w:tcPr>
          <w:p w14:paraId="1EF09B19" w14:textId="77777777" w:rsidR="00063667" w:rsidRPr="006C3830" w:rsidRDefault="00BD545C" w:rsidP="006C3830">
            <w:pPr>
              <w:pStyle w:val="TableParagraph"/>
              <w:spacing w:before="122" w:line="360" w:lineRule="auto"/>
              <w:ind w:left="227" w:right="219"/>
              <w:rPr>
                <w:rFonts w:ascii="Cambria" w:hAnsi="Cambria"/>
                <w:b/>
              </w:rPr>
            </w:pPr>
            <w:r w:rsidRPr="006C3830">
              <w:rPr>
                <w:rFonts w:ascii="Cambria" w:hAnsi="Cambria"/>
                <w:b/>
              </w:rPr>
              <w:t>Amount (₹ crore)</w:t>
            </w:r>
          </w:p>
        </w:tc>
        <w:tc>
          <w:tcPr>
            <w:tcW w:w="2411" w:type="dxa"/>
          </w:tcPr>
          <w:p w14:paraId="0F7AD6D7" w14:textId="77777777" w:rsidR="00063667" w:rsidRPr="006C3830" w:rsidRDefault="00BD545C" w:rsidP="006C3830">
            <w:pPr>
              <w:pStyle w:val="TableParagraph"/>
              <w:spacing w:before="122" w:line="360" w:lineRule="auto"/>
              <w:ind w:left="121" w:right="113"/>
              <w:rPr>
                <w:rFonts w:ascii="Cambria" w:hAnsi="Cambria"/>
                <w:b/>
              </w:rPr>
            </w:pPr>
            <w:r w:rsidRPr="006C3830">
              <w:rPr>
                <w:rFonts w:ascii="Cambria" w:hAnsi="Cambria"/>
                <w:b/>
              </w:rPr>
              <w:t>% of Total Liabilities</w:t>
            </w:r>
          </w:p>
        </w:tc>
      </w:tr>
      <w:tr w:rsidR="00CB001A" w:rsidRPr="006C3830" w14:paraId="7DB09B47" w14:textId="77777777" w:rsidTr="00FF637B">
        <w:trPr>
          <w:trHeight w:val="285"/>
        </w:trPr>
        <w:tc>
          <w:tcPr>
            <w:tcW w:w="996" w:type="dxa"/>
          </w:tcPr>
          <w:p w14:paraId="28EB921A" w14:textId="77777777" w:rsidR="00CB001A" w:rsidRPr="006C3830" w:rsidRDefault="00CB001A" w:rsidP="00CB001A">
            <w:pPr>
              <w:pStyle w:val="TableParagraph"/>
              <w:spacing w:before="14" w:line="360" w:lineRule="auto"/>
              <w:ind w:left="9"/>
              <w:rPr>
                <w:rFonts w:ascii="Cambria" w:hAnsi="Cambria"/>
              </w:rPr>
            </w:pPr>
            <w:r w:rsidRPr="006C3830">
              <w:rPr>
                <w:rFonts w:ascii="Cambria" w:hAnsi="Cambria"/>
              </w:rPr>
              <w:t>1</w:t>
            </w:r>
          </w:p>
        </w:tc>
        <w:tc>
          <w:tcPr>
            <w:tcW w:w="2833" w:type="dxa"/>
          </w:tcPr>
          <w:p w14:paraId="7050B50D" w14:textId="77777777" w:rsidR="00CB001A" w:rsidRPr="006C3830" w:rsidRDefault="00CB001A" w:rsidP="00CB001A">
            <w:pPr>
              <w:pStyle w:val="TableParagraph"/>
              <w:spacing w:before="14" w:line="360" w:lineRule="auto"/>
              <w:ind w:left="386" w:right="378"/>
              <w:jc w:val="left"/>
              <w:rPr>
                <w:rFonts w:ascii="Cambria" w:hAnsi="Cambria"/>
              </w:rPr>
            </w:pPr>
            <w:r w:rsidRPr="006C3830">
              <w:rPr>
                <w:rFonts w:ascii="Cambria" w:hAnsi="Cambria"/>
              </w:rPr>
              <w:t>Term Loan</w:t>
            </w:r>
          </w:p>
        </w:tc>
        <w:tc>
          <w:tcPr>
            <w:tcW w:w="2269" w:type="dxa"/>
            <w:tcBorders>
              <w:top w:val="nil"/>
              <w:left w:val="nil"/>
              <w:bottom w:val="single" w:sz="8" w:space="0" w:color="000000"/>
              <w:right w:val="single" w:sz="8" w:space="0" w:color="000000"/>
            </w:tcBorders>
            <w:shd w:val="clear" w:color="auto" w:fill="auto"/>
            <w:vAlign w:val="center"/>
          </w:tcPr>
          <w:p w14:paraId="633EAA1C" w14:textId="7D69A816" w:rsidR="00CB001A" w:rsidRDefault="00CB001A" w:rsidP="00CB001A">
            <w:pPr>
              <w:jc w:val="center"/>
              <w:rPr>
                <w:rFonts w:ascii="Cambria" w:eastAsia="Times New Roman" w:hAnsi="Cambria" w:cs="Calibri"/>
                <w:color w:val="000000"/>
              </w:rPr>
            </w:pPr>
            <w:r>
              <w:rPr>
                <w:rFonts w:ascii="Cambria" w:hAnsi="Cambria" w:cs="Calibri"/>
                <w:color w:val="000000"/>
              </w:rPr>
              <w:t xml:space="preserve">               1,657.22 </w:t>
            </w:r>
          </w:p>
        </w:tc>
        <w:tc>
          <w:tcPr>
            <w:tcW w:w="2411" w:type="dxa"/>
            <w:tcBorders>
              <w:top w:val="nil"/>
              <w:left w:val="nil"/>
              <w:bottom w:val="single" w:sz="8" w:space="0" w:color="000000"/>
              <w:right w:val="single" w:sz="8" w:space="0" w:color="000000"/>
            </w:tcBorders>
            <w:shd w:val="clear" w:color="auto" w:fill="auto"/>
            <w:vAlign w:val="center"/>
          </w:tcPr>
          <w:p w14:paraId="7610CDB5" w14:textId="295695BE" w:rsidR="00CB001A" w:rsidRDefault="00CB001A" w:rsidP="00CB001A">
            <w:pPr>
              <w:jc w:val="center"/>
              <w:rPr>
                <w:rFonts w:ascii="Cambria" w:hAnsi="Cambria" w:cs="Calibri"/>
                <w:color w:val="000000"/>
              </w:rPr>
            </w:pPr>
            <w:r>
              <w:rPr>
                <w:rFonts w:ascii="Cambria" w:hAnsi="Cambria" w:cs="Calibri"/>
                <w:color w:val="000000"/>
              </w:rPr>
              <w:t>61.04%</w:t>
            </w:r>
          </w:p>
        </w:tc>
      </w:tr>
      <w:tr w:rsidR="00CB001A" w:rsidRPr="006C3830" w14:paraId="58E9FEC0" w14:textId="77777777" w:rsidTr="00FF637B">
        <w:trPr>
          <w:trHeight w:val="285"/>
        </w:trPr>
        <w:tc>
          <w:tcPr>
            <w:tcW w:w="996" w:type="dxa"/>
          </w:tcPr>
          <w:p w14:paraId="7B41DCD0" w14:textId="77777777" w:rsidR="00CB001A" w:rsidRPr="006C3830" w:rsidRDefault="00CB001A" w:rsidP="00CB001A">
            <w:pPr>
              <w:pStyle w:val="TableParagraph"/>
              <w:spacing w:before="12" w:line="360" w:lineRule="auto"/>
              <w:ind w:left="9"/>
              <w:rPr>
                <w:rFonts w:ascii="Cambria" w:hAnsi="Cambria"/>
              </w:rPr>
            </w:pPr>
            <w:r w:rsidRPr="006C3830">
              <w:rPr>
                <w:rFonts w:ascii="Cambria" w:hAnsi="Cambria"/>
              </w:rPr>
              <w:t>2</w:t>
            </w:r>
          </w:p>
        </w:tc>
        <w:tc>
          <w:tcPr>
            <w:tcW w:w="2833" w:type="dxa"/>
          </w:tcPr>
          <w:p w14:paraId="28C118AA" w14:textId="77777777" w:rsidR="00CB001A" w:rsidRPr="006C3830" w:rsidRDefault="00CB001A" w:rsidP="00CB001A">
            <w:pPr>
              <w:pStyle w:val="TableParagraph"/>
              <w:spacing w:before="12" w:line="360" w:lineRule="auto"/>
              <w:ind w:left="382" w:right="378"/>
              <w:jc w:val="left"/>
              <w:rPr>
                <w:rFonts w:ascii="Cambria" w:hAnsi="Cambria"/>
              </w:rPr>
            </w:pPr>
            <w:r w:rsidRPr="006C3830">
              <w:rPr>
                <w:rFonts w:ascii="Cambria" w:hAnsi="Cambria"/>
              </w:rPr>
              <w:t>NCD</w:t>
            </w:r>
          </w:p>
        </w:tc>
        <w:tc>
          <w:tcPr>
            <w:tcW w:w="2269" w:type="dxa"/>
            <w:tcBorders>
              <w:top w:val="nil"/>
              <w:left w:val="nil"/>
              <w:bottom w:val="single" w:sz="8" w:space="0" w:color="000000"/>
              <w:right w:val="single" w:sz="8" w:space="0" w:color="000000"/>
            </w:tcBorders>
            <w:shd w:val="clear" w:color="auto" w:fill="auto"/>
            <w:vAlign w:val="center"/>
          </w:tcPr>
          <w:p w14:paraId="12DC0A67" w14:textId="23D4FF70" w:rsidR="00CB001A" w:rsidRDefault="00CB001A" w:rsidP="00CB001A">
            <w:pPr>
              <w:jc w:val="center"/>
              <w:rPr>
                <w:rFonts w:ascii="Cambria" w:hAnsi="Cambria" w:cs="Calibri"/>
                <w:color w:val="000000"/>
              </w:rPr>
            </w:pPr>
            <w:r>
              <w:rPr>
                <w:rFonts w:ascii="Cambria" w:hAnsi="Cambria" w:cs="Calibri"/>
                <w:color w:val="000000"/>
              </w:rPr>
              <w:t xml:space="preserve">                   710.00 </w:t>
            </w:r>
          </w:p>
        </w:tc>
        <w:tc>
          <w:tcPr>
            <w:tcW w:w="2411" w:type="dxa"/>
            <w:tcBorders>
              <w:top w:val="nil"/>
              <w:left w:val="nil"/>
              <w:bottom w:val="single" w:sz="8" w:space="0" w:color="000000"/>
              <w:right w:val="single" w:sz="8" w:space="0" w:color="000000"/>
            </w:tcBorders>
            <w:shd w:val="clear" w:color="auto" w:fill="auto"/>
            <w:vAlign w:val="center"/>
          </w:tcPr>
          <w:p w14:paraId="1E87C053" w14:textId="7C36F751" w:rsidR="00CB001A" w:rsidRDefault="00CB001A" w:rsidP="00CB001A">
            <w:pPr>
              <w:jc w:val="center"/>
              <w:rPr>
                <w:rFonts w:ascii="Cambria" w:hAnsi="Cambria" w:cs="Calibri"/>
                <w:color w:val="000000"/>
              </w:rPr>
            </w:pPr>
            <w:r>
              <w:rPr>
                <w:rFonts w:ascii="Cambria" w:hAnsi="Cambria" w:cs="Calibri"/>
                <w:color w:val="000000"/>
              </w:rPr>
              <w:t>26.15%</w:t>
            </w:r>
          </w:p>
        </w:tc>
      </w:tr>
      <w:tr w:rsidR="00CB001A" w:rsidRPr="006C3830" w14:paraId="6A16892F" w14:textId="77777777" w:rsidTr="00FF637B">
        <w:trPr>
          <w:trHeight w:val="282"/>
        </w:trPr>
        <w:tc>
          <w:tcPr>
            <w:tcW w:w="996" w:type="dxa"/>
          </w:tcPr>
          <w:p w14:paraId="23DEFA59" w14:textId="77777777" w:rsidR="00CB001A" w:rsidRPr="006C3830" w:rsidRDefault="00CB001A" w:rsidP="00CB001A">
            <w:pPr>
              <w:pStyle w:val="TableParagraph"/>
              <w:spacing w:before="12" w:line="360" w:lineRule="auto"/>
              <w:ind w:left="9"/>
              <w:rPr>
                <w:rFonts w:ascii="Cambria" w:hAnsi="Cambria"/>
              </w:rPr>
            </w:pPr>
            <w:r w:rsidRPr="006C3830">
              <w:rPr>
                <w:rFonts w:ascii="Cambria" w:hAnsi="Cambria"/>
              </w:rPr>
              <w:t>3</w:t>
            </w:r>
          </w:p>
        </w:tc>
        <w:tc>
          <w:tcPr>
            <w:tcW w:w="2833" w:type="dxa"/>
          </w:tcPr>
          <w:p w14:paraId="3C36DFB4" w14:textId="77777777" w:rsidR="00CB001A" w:rsidRPr="006C3830" w:rsidRDefault="00CB001A" w:rsidP="00CB001A">
            <w:pPr>
              <w:pStyle w:val="TableParagraph"/>
              <w:spacing w:before="12" w:line="360" w:lineRule="auto"/>
              <w:ind w:left="385" w:right="378"/>
              <w:jc w:val="left"/>
              <w:rPr>
                <w:rFonts w:ascii="Cambria" w:hAnsi="Cambria"/>
              </w:rPr>
            </w:pPr>
            <w:r w:rsidRPr="006C3830">
              <w:rPr>
                <w:rFonts w:ascii="Cambria" w:hAnsi="Cambria"/>
              </w:rPr>
              <w:t>CP</w:t>
            </w:r>
          </w:p>
        </w:tc>
        <w:tc>
          <w:tcPr>
            <w:tcW w:w="2269" w:type="dxa"/>
            <w:tcBorders>
              <w:top w:val="nil"/>
              <w:left w:val="nil"/>
              <w:bottom w:val="single" w:sz="8" w:space="0" w:color="000000"/>
              <w:right w:val="single" w:sz="8" w:space="0" w:color="000000"/>
            </w:tcBorders>
            <w:shd w:val="clear" w:color="auto" w:fill="auto"/>
            <w:vAlign w:val="center"/>
          </w:tcPr>
          <w:p w14:paraId="2030DF26" w14:textId="1477072B" w:rsidR="00CB001A" w:rsidRDefault="00CB001A" w:rsidP="00CB001A">
            <w:pPr>
              <w:jc w:val="center"/>
              <w:rPr>
                <w:rFonts w:ascii="Cambria" w:hAnsi="Cambria" w:cs="Calibri"/>
                <w:color w:val="000000"/>
              </w:rPr>
            </w:pPr>
            <w:r>
              <w:rPr>
                <w:rFonts w:ascii="Cambria" w:hAnsi="Cambria" w:cs="Calibri"/>
                <w:color w:val="000000"/>
              </w:rPr>
              <w:t xml:space="preserve">                              -   </w:t>
            </w:r>
          </w:p>
        </w:tc>
        <w:tc>
          <w:tcPr>
            <w:tcW w:w="2411" w:type="dxa"/>
            <w:tcBorders>
              <w:top w:val="nil"/>
              <w:left w:val="nil"/>
              <w:bottom w:val="single" w:sz="8" w:space="0" w:color="000000"/>
              <w:right w:val="single" w:sz="8" w:space="0" w:color="000000"/>
            </w:tcBorders>
            <w:shd w:val="clear" w:color="auto" w:fill="auto"/>
            <w:vAlign w:val="center"/>
          </w:tcPr>
          <w:p w14:paraId="0DED77B8" w14:textId="73142166" w:rsidR="00CB001A" w:rsidRDefault="00CB001A" w:rsidP="00CB001A">
            <w:pPr>
              <w:jc w:val="center"/>
              <w:rPr>
                <w:rFonts w:ascii="Cambria" w:hAnsi="Cambria" w:cs="Calibri"/>
                <w:color w:val="000000"/>
              </w:rPr>
            </w:pPr>
            <w:r>
              <w:rPr>
                <w:rFonts w:ascii="Cambria" w:hAnsi="Cambria" w:cs="Calibri"/>
                <w:color w:val="000000"/>
              </w:rPr>
              <w:t>0.00%</w:t>
            </w:r>
          </w:p>
        </w:tc>
      </w:tr>
      <w:tr w:rsidR="00CB001A" w:rsidRPr="006C3830" w14:paraId="61642AE0" w14:textId="77777777" w:rsidTr="00FF637B">
        <w:trPr>
          <w:trHeight w:val="282"/>
        </w:trPr>
        <w:tc>
          <w:tcPr>
            <w:tcW w:w="996" w:type="dxa"/>
          </w:tcPr>
          <w:p w14:paraId="7D99CAE1" w14:textId="77777777" w:rsidR="00CB001A" w:rsidRPr="006C3830" w:rsidRDefault="00CB001A" w:rsidP="00CB001A">
            <w:pPr>
              <w:pStyle w:val="TableParagraph"/>
              <w:spacing w:before="12" w:line="360" w:lineRule="auto"/>
              <w:ind w:left="9"/>
              <w:rPr>
                <w:rFonts w:ascii="Cambria" w:hAnsi="Cambria"/>
              </w:rPr>
            </w:pPr>
          </w:p>
        </w:tc>
        <w:tc>
          <w:tcPr>
            <w:tcW w:w="2833" w:type="dxa"/>
          </w:tcPr>
          <w:p w14:paraId="10090EC8" w14:textId="77777777" w:rsidR="00CB001A" w:rsidRPr="006C3830" w:rsidRDefault="00CB001A" w:rsidP="00CB001A">
            <w:pPr>
              <w:pStyle w:val="TableParagraph"/>
              <w:spacing w:before="12" w:line="360" w:lineRule="auto"/>
              <w:ind w:left="384" w:right="378"/>
              <w:jc w:val="left"/>
              <w:rPr>
                <w:rFonts w:ascii="Cambria" w:hAnsi="Cambria"/>
                <w:b/>
              </w:rPr>
            </w:pPr>
            <w:r w:rsidRPr="006C3830">
              <w:rPr>
                <w:rFonts w:ascii="Cambria" w:hAnsi="Cambria"/>
                <w:b/>
              </w:rPr>
              <w:t>Total</w:t>
            </w:r>
          </w:p>
        </w:tc>
        <w:tc>
          <w:tcPr>
            <w:tcW w:w="2269" w:type="dxa"/>
            <w:tcBorders>
              <w:top w:val="nil"/>
              <w:left w:val="nil"/>
              <w:bottom w:val="single" w:sz="8" w:space="0" w:color="000000"/>
              <w:right w:val="single" w:sz="8" w:space="0" w:color="000000"/>
            </w:tcBorders>
            <w:shd w:val="clear" w:color="auto" w:fill="auto"/>
            <w:vAlign w:val="center"/>
          </w:tcPr>
          <w:p w14:paraId="4688B7A4" w14:textId="7AA3A312" w:rsidR="00CB001A" w:rsidRDefault="00CB001A" w:rsidP="00CB001A">
            <w:pPr>
              <w:jc w:val="center"/>
              <w:rPr>
                <w:rFonts w:ascii="Cambria" w:hAnsi="Cambria" w:cs="Calibri"/>
                <w:b/>
                <w:bCs/>
                <w:color w:val="000000"/>
              </w:rPr>
            </w:pPr>
            <w:r>
              <w:rPr>
                <w:rFonts w:ascii="Cambria" w:hAnsi="Cambria" w:cs="Calibri"/>
                <w:b/>
                <w:bCs/>
                <w:color w:val="000000"/>
              </w:rPr>
              <w:t xml:space="preserve">             2,367.22 </w:t>
            </w:r>
          </w:p>
        </w:tc>
        <w:tc>
          <w:tcPr>
            <w:tcW w:w="2411" w:type="dxa"/>
            <w:tcBorders>
              <w:top w:val="nil"/>
              <w:left w:val="nil"/>
              <w:bottom w:val="single" w:sz="8" w:space="0" w:color="000000"/>
              <w:right w:val="single" w:sz="8" w:space="0" w:color="000000"/>
            </w:tcBorders>
            <w:shd w:val="clear" w:color="auto" w:fill="auto"/>
            <w:vAlign w:val="center"/>
          </w:tcPr>
          <w:p w14:paraId="05F9F622" w14:textId="7BA209C3" w:rsidR="00CB001A" w:rsidRDefault="00CB001A" w:rsidP="00CB001A">
            <w:pPr>
              <w:jc w:val="center"/>
              <w:rPr>
                <w:rFonts w:ascii="Cambria" w:hAnsi="Cambria" w:cs="Calibri"/>
                <w:b/>
                <w:bCs/>
                <w:color w:val="000000"/>
              </w:rPr>
            </w:pPr>
            <w:r>
              <w:rPr>
                <w:rFonts w:ascii="Cambria" w:hAnsi="Cambria" w:cs="Calibri"/>
                <w:b/>
                <w:bCs/>
                <w:color w:val="000000"/>
              </w:rPr>
              <w:t>87.19%</w:t>
            </w:r>
          </w:p>
        </w:tc>
      </w:tr>
    </w:tbl>
    <w:p w14:paraId="5ACDB9E0" w14:textId="77777777" w:rsidR="006C3830" w:rsidRPr="006C3830" w:rsidRDefault="006C3830" w:rsidP="006C3830">
      <w:pPr>
        <w:spacing w:line="360" w:lineRule="auto"/>
        <w:rPr>
          <w:rFonts w:ascii="Cambria" w:hAnsi="Cambria"/>
        </w:rPr>
      </w:pPr>
    </w:p>
    <w:p w14:paraId="2160B2CC" w14:textId="77777777" w:rsidR="006C3830" w:rsidRPr="006C3830" w:rsidRDefault="006C3830" w:rsidP="006C3830">
      <w:pPr>
        <w:spacing w:line="360" w:lineRule="auto"/>
        <w:rPr>
          <w:rFonts w:ascii="Cambria" w:hAnsi="Cambria"/>
        </w:rPr>
      </w:pPr>
    </w:p>
    <w:p w14:paraId="15B80F95" w14:textId="77777777" w:rsidR="00063667" w:rsidRPr="006C3830" w:rsidRDefault="00BD545C" w:rsidP="006C3830">
      <w:pPr>
        <w:tabs>
          <w:tab w:val="left" w:pos="1395"/>
        </w:tabs>
        <w:spacing w:line="360" w:lineRule="auto"/>
        <w:rPr>
          <w:rFonts w:ascii="Cambria" w:hAnsi="Cambria"/>
        </w:rPr>
      </w:pPr>
      <w:r w:rsidRPr="006C3830">
        <w:rPr>
          <w:rFonts w:ascii="Cambria" w:hAnsi="Cambria"/>
          <w:b/>
          <w:u w:val="single"/>
        </w:rPr>
        <w:t>Notes</w:t>
      </w:r>
      <w:r w:rsidRPr="006C3830">
        <w:rPr>
          <w:rFonts w:ascii="Cambria" w:hAnsi="Cambria"/>
        </w:rPr>
        <w:t>:</w:t>
      </w:r>
    </w:p>
    <w:p w14:paraId="513A87F1" w14:textId="77777777" w:rsidR="00063667" w:rsidRPr="006C3830" w:rsidRDefault="00BD545C" w:rsidP="006C3830">
      <w:pPr>
        <w:pStyle w:val="ListParagraph"/>
        <w:numPr>
          <w:ilvl w:val="1"/>
          <w:numId w:val="1"/>
        </w:numPr>
        <w:tabs>
          <w:tab w:val="left" w:pos="821"/>
        </w:tabs>
        <w:spacing w:line="360" w:lineRule="auto"/>
        <w:ind w:right="114"/>
        <w:jc w:val="both"/>
        <w:rPr>
          <w:rFonts w:ascii="Cambria" w:hAnsi="Cambria"/>
        </w:rPr>
      </w:pPr>
      <w:r w:rsidRPr="006C3830">
        <w:rPr>
          <w:rFonts w:ascii="Cambria" w:hAnsi="Cambria"/>
        </w:rPr>
        <w:t>A “Significant counterparty” is defined as a single counterparty or group of connected or affiliated counterparties accounting in aggregate for more than 1% of the NBFC- NDSI's, NBFC-Ds total liabilities and 10% for other non-deposit taking</w:t>
      </w:r>
      <w:r w:rsidRPr="006C3830">
        <w:rPr>
          <w:rFonts w:ascii="Cambria" w:hAnsi="Cambria"/>
          <w:spacing w:val="-16"/>
        </w:rPr>
        <w:t xml:space="preserve"> </w:t>
      </w:r>
      <w:r w:rsidRPr="006C3830">
        <w:rPr>
          <w:rFonts w:ascii="Cambria" w:hAnsi="Cambria"/>
        </w:rPr>
        <w:t>NBFCs</w:t>
      </w:r>
    </w:p>
    <w:p w14:paraId="4D7E06F6" w14:textId="77777777" w:rsidR="00063667" w:rsidRPr="006C3830" w:rsidRDefault="00BD545C" w:rsidP="006C3830">
      <w:pPr>
        <w:pStyle w:val="ListParagraph"/>
        <w:numPr>
          <w:ilvl w:val="1"/>
          <w:numId w:val="1"/>
        </w:numPr>
        <w:tabs>
          <w:tab w:val="left" w:pos="821"/>
        </w:tabs>
        <w:spacing w:before="2" w:line="360" w:lineRule="auto"/>
        <w:ind w:right="120"/>
        <w:jc w:val="both"/>
        <w:rPr>
          <w:rFonts w:ascii="Cambria" w:hAnsi="Cambria"/>
        </w:rPr>
      </w:pPr>
      <w:r w:rsidRPr="006C3830">
        <w:rPr>
          <w:rFonts w:ascii="Cambria" w:hAnsi="Cambria"/>
        </w:rPr>
        <w:t xml:space="preserve">Total Liabilities has been computed as Total Assets </w:t>
      </w:r>
      <w:proofErr w:type="gramStart"/>
      <w:r w:rsidRPr="006C3830">
        <w:rPr>
          <w:rFonts w:ascii="Cambria" w:hAnsi="Cambria"/>
        </w:rPr>
        <w:t>less</w:t>
      </w:r>
      <w:proofErr w:type="gramEnd"/>
      <w:r w:rsidRPr="006C3830">
        <w:rPr>
          <w:rFonts w:ascii="Cambria" w:hAnsi="Cambria"/>
        </w:rPr>
        <w:t xml:space="preserve"> Equity share capital less Reserve &amp; Surplus and computed basis extant regulatory ALM</w:t>
      </w:r>
      <w:r w:rsidRPr="006C3830">
        <w:rPr>
          <w:rFonts w:ascii="Cambria" w:hAnsi="Cambria"/>
          <w:spacing w:val="-15"/>
        </w:rPr>
        <w:t xml:space="preserve"> </w:t>
      </w:r>
      <w:r w:rsidRPr="006C3830">
        <w:rPr>
          <w:rFonts w:ascii="Cambria" w:hAnsi="Cambria"/>
        </w:rPr>
        <w:t>guidelines</w:t>
      </w:r>
    </w:p>
    <w:p w14:paraId="76DDE01C" w14:textId="77777777" w:rsidR="00063667" w:rsidRDefault="00063667" w:rsidP="006C3830">
      <w:pPr>
        <w:pStyle w:val="BodyText"/>
        <w:spacing w:before="10" w:line="360" w:lineRule="auto"/>
        <w:rPr>
          <w:rFonts w:ascii="Cambria" w:hAnsi="Cambria"/>
          <w:sz w:val="23"/>
        </w:rPr>
      </w:pPr>
    </w:p>
    <w:p w14:paraId="38EB7CB8" w14:textId="77777777" w:rsidR="006C3830" w:rsidRDefault="006C3830" w:rsidP="006C3830">
      <w:pPr>
        <w:pStyle w:val="BodyText"/>
        <w:spacing w:before="10" w:line="360" w:lineRule="auto"/>
        <w:rPr>
          <w:rFonts w:ascii="Cambria" w:hAnsi="Cambria"/>
          <w:sz w:val="23"/>
        </w:rPr>
      </w:pPr>
    </w:p>
    <w:p w14:paraId="3D1C8413" w14:textId="77777777" w:rsidR="006C3830" w:rsidRDefault="006C3830" w:rsidP="006C3830">
      <w:pPr>
        <w:pStyle w:val="BodyText"/>
        <w:spacing w:before="10" w:line="360" w:lineRule="auto"/>
        <w:rPr>
          <w:rFonts w:ascii="Cambria" w:hAnsi="Cambria"/>
          <w:sz w:val="23"/>
        </w:rPr>
      </w:pPr>
    </w:p>
    <w:p w14:paraId="0A038F98" w14:textId="77777777" w:rsidR="006C3830" w:rsidRDefault="006C3830" w:rsidP="006C3830">
      <w:pPr>
        <w:pStyle w:val="BodyText"/>
        <w:spacing w:before="10" w:line="360" w:lineRule="auto"/>
        <w:rPr>
          <w:rFonts w:ascii="Cambria" w:hAnsi="Cambria"/>
          <w:sz w:val="23"/>
        </w:rPr>
      </w:pPr>
    </w:p>
    <w:p w14:paraId="45A860A8" w14:textId="77777777" w:rsidR="006C3830" w:rsidRDefault="006C3830" w:rsidP="006C3830">
      <w:pPr>
        <w:pStyle w:val="BodyText"/>
        <w:spacing w:before="10" w:line="360" w:lineRule="auto"/>
        <w:rPr>
          <w:rFonts w:ascii="Cambria" w:hAnsi="Cambria"/>
          <w:sz w:val="23"/>
        </w:rPr>
      </w:pPr>
    </w:p>
    <w:p w14:paraId="6790EDD6" w14:textId="77777777" w:rsidR="006C3830" w:rsidRDefault="006C3830" w:rsidP="006C3830">
      <w:pPr>
        <w:pStyle w:val="BodyText"/>
        <w:spacing w:before="10" w:line="360" w:lineRule="auto"/>
        <w:rPr>
          <w:rFonts w:ascii="Cambria" w:hAnsi="Cambria"/>
          <w:sz w:val="23"/>
        </w:rPr>
      </w:pPr>
    </w:p>
    <w:p w14:paraId="3E011EA8" w14:textId="77777777" w:rsidR="006C3830" w:rsidRPr="006C3830" w:rsidRDefault="006C3830" w:rsidP="006C3830">
      <w:pPr>
        <w:pStyle w:val="BodyText"/>
        <w:spacing w:before="10" w:line="360" w:lineRule="auto"/>
        <w:rPr>
          <w:rFonts w:ascii="Cambria" w:hAnsi="Cambria"/>
          <w:sz w:val="23"/>
        </w:rPr>
      </w:pPr>
    </w:p>
    <w:p w14:paraId="4C01ECCC" w14:textId="77777777" w:rsidR="00063667" w:rsidRPr="006C3830" w:rsidRDefault="00BD545C" w:rsidP="006C3830">
      <w:pPr>
        <w:pStyle w:val="Heading1"/>
        <w:numPr>
          <w:ilvl w:val="0"/>
          <w:numId w:val="1"/>
        </w:numPr>
        <w:tabs>
          <w:tab w:val="left" w:pos="432"/>
        </w:tabs>
        <w:spacing w:line="360" w:lineRule="auto"/>
        <w:ind w:left="431" w:hanging="332"/>
        <w:jc w:val="left"/>
        <w:rPr>
          <w:rFonts w:ascii="Cambria" w:hAnsi="Cambria"/>
          <w:u w:val="none"/>
        </w:rPr>
      </w:pPr>
      <w:r w:rsidRPr="006C3830">
        <w:rPr>
          <w:rFonts w:ascii="Cambria" w:hAnsi="Cambria"/>
          <w:u w:val="none"/>
        </w:rPr>
        <w:t>Stock</w:t>
      </w:r>
      <w:r w:rsidRPr="006C3830">
        <w:rPr>
          <w:rFonts w:ascii="Cambria" w:hAnsi="Cambria"/>
          <w:spacing w:val="-1"/>
          <w:u w:val="none"/>
        </w:rPr>
        <w:t xml:space="preserve"> </w:t>
      </w:r>
      <w:r w:rsidRPr="006C3830">
        <w:rPr>
          <w:rFonts w:ascii="Cambria" w:hAnsi="Cambria"/>
          <w:u w:val="none"/>
        </w:rPr>
        <w:t>Ratios:</w:t>
      </w:r>
    </w:p>
    <w:p w14:paraId="00E618D1" w14:textId="77777777" w:rsidR="00063667" w:rsidRPr="006C3830" w:rsidRDefault="00063667" w:rsidP="006C3830">
      <w:pPr>
        <w:pStyle w:val="BodyText"/>
        <w:spacing w:before="5" w:after="1" w:line="360" w:lineRule="auto"/>
        <w:rPr>
          <w:rFonts w:ascii="Cambria" w:hAnsi="Cambria"/>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022"/>
        <w:gridCol w:w="3008"/>
      </w:tblGrid>
      <w:tr w:rsidR="00063667" w:rsidRPr="006C3830" w14:paraId="7CFCFCBB" w14:textId="77777777">
        <w:trPr>
          <w:trHeight w:val="251"/>
        </w:trPr>
        <w:tc>
          <w:tcPr>
            <w:tcW w:w="989" w:type="dxa"/>
          </w:tcPr>
          <w:p w14:paraId="1652C113" w14:textId="77777777" w:rsidR="00063667" w:rsidRPr="006C3830" w:rsidRDefault="00BD545C" w:rsidP="006C3830">
            <w:pPr>
              <w:pStyle w:val="TableParagraph"/>
              <w:spacing w:line="360" w:lineRule="auto"/>
              <w:ind w:left="118" w:right="111"/>
              <w:rPr>
                <w:rFonts w:ascii="Cambria" w:hAnsi="Cambria"/>
                <w:b/>
              </w:rPr>
            </w:pPr>
            <w:r w:rsidRPr="006C3830">
              <w:rPr>
                <w:rFonts w:ascii="Cambria" w:hAnsi="Cambria"/>
                <w:b/>
              </w:rPr>
              <w:t>Sr. No.</w:t>
            </w:r>
          </w:p>
        </w:tc>
        <w:tc>
          <w:tcPr>
            <w:tcW w:w="5022" w:type="dxa"/>
          </w:tcPr>
          <w:p w14:paraId="7FC5C3C0" w14:textId="77777777" w:rsidR="00063667" w:rsidRPr="006C3830" w:rsidRDefault="00BD545C" w:rsidP="006C3830">
            <w:pPr>
              <w:pStyle w:val="TableParagraph"/>
              <w:spacing w:line="360" w:lineRule="auto"/>
              <w:ind w:left="1886" w:right="1875"/>
              <w:rPr>
                <w:rFonts w:ascii="Cambria" w:hAnsi="Cambria"/>
                <w:b/>
              </w:rPr>
            </w:pPr>
            <w:r w:rsidRPr="006C3830">
              <w:rPr>
                <w:rFonts w:ascii="Cambria" w:hAnsi="Cambria"/>
                <w:b/>
              </w:rPr>
              <w:t>Stock Ratio</w:t>
            </w:r>
          </w:p>
        </w:tc>
        <w:tc>
          <w:tcPr>
            <w:tcW w:w="3008" w:type="dxa"/>
          </w:tcPr>
          <w:p w14:paraId="60F39DE3" w14:textId="77777777" w:rsidR="00063667" w:rsidRPr="006C3830" w:rsidRDefault="00BD545C" w:rsidP="006C3830">
            <w:pPr>
              <w:pStyle w:val="TableParagraph"/>
              <w:spacing w:line="360" w:lineRule="auto"/>
              <w:ind w:left="4"/>
              <w:rPr>
                <w:rFonts w:ascii="Cambria" w:hAnsi="Cambria"/>
                <w:b/>
              </w:rPr>
            </w:pPr>
            <w:r w:rsidRPr="006C3830">
              <w:rPr>
                <w:rFonts w:ascii="Cambria" w:hAnsi="Cambria"/>
                <w:b/>
              </w:rPr>
              <w:t>%</w:t>
            </w:r>
          </w:p>
        </w:tc>
      </w:tr>
      <w:tr w:rsidR="00CB001A" w:rsidRPr="006C3830" w14:paraId="344E2310" w14:textId="77777777" w:rsidTr="00CC11B4">
        <w:trPr>
          <w:trHeight w:val="254"/>
        </w:trPr>
        <w:tc>
          <w:tcPr>
            <w:tcW w:w="989" w:type="dxa"/>
          </w:tcPr>
          <w:p w14:paraId="10788806" w14:textId="77777777" w:rsidR="00CB001A" w:rsidRPr="006C3830" w:rsidRDefault="00CB001A" w:rsidP="00CB001A">
            <w:pPr>
              <w:pStyle w:val="TableParagraph"/>
              <w:spacing w:line="360" w:lineRule="auto"/>
              <w:ind w:left="7"/>
              <w:rPr>
                <w:rFonts w:ascii="Cambria" w:hAnsi="Cambria"/>
              </w:rPr>
            </w:pPr>
            <w:r w:rsidRPr="006C3830">
              <w:rPr>
                <w:rFonts w:ascii="Cambria" w:hAnsi="Cambria"/>
              </w:rPr>
              <w:t>1</w:t>
            </w:r>
          </w:p>
        </w:tc>
        <w:tc>
          <w:tcPr>
            <w:tcW w:w="5022" w:type="dxa"/>
          </w:tcPr>
          <w:p w14:paraId="7B070BD8" w14:textId="77777777" w:rsidR="00CB001A" w:rsidRPr="006C3830" w:rsidRDefault="00CB001A" w:rsidP="00CB001A">
            <w:pPr>
              <w:pStyle w:val="TableParagraph"/>
              <w:spacing w:line="360" w:lineRule="auto"/>
              <w:jc w:val="left"/>
              <w:rPr>
                <w:rFonts w:ascii="Cambria" w:hAnsi="Cambria"/>
              </w:rPr>
            </w:pPr>
            <w:r w:rsidRPr="006C3830">
              <w:rPr>
                <w:rFonts w:ascii="Cambria" w:hAnsi="Cambria"/>
              </w:rPr>
              <w:t>Commercial papers as a % of total liabilities</w:t>
            </w:r>
          </w:p>
        </w:tc>
        <w:tc>
          <w:tcPr>
            <w:tcW w:w="3008" w:type="dxa"/>
          </w:tcPr>
          <w:p w14:paraId="585E4A1D" w14:textId="7D68A74C" w:rsidR="00CB001A" w:rsidRDefault="00CB001A" w:rsidP="00CB001A">
            <w:pPr>
              <w:jc w:val="center"/>
              <w:rPr>
                <w:rFonts w:ascii="Cambria" w:eastAsia="Times New Roman" w:hAnsi="Cambria" w:cs="Calibri"/>
                <w:color w:val="000000"/>
              </w:rPr>
            </w:pPr>
            <w:r w:rsidRPr="006171E9">
              <w:rPr>
                <w:rFonts w:ascii="Cambria" w:hAnsi="Cambria" w:cs="Calibri"/>
                <w:color w:val="000000"/>
              </w:rPr>
              <w:t>0.00%</w:t>
            </w:r>
          </w:p>
        </w:tc>
      </w:tr>
      <w:tr w:rsidR="00CB001A" w:rsidRPr="006C3830" w14:paraId="0D6A7566" w14:textId="77777777" w:rsidTr="00CC11B4">
        <w:trPr>
          <w:trHeight w:val="251"/>
        </w:trPr>
        <w:tc>
          <w:tcPr>
            <w:tcW w:w="989" w:type="dxa"/>
          </w:tcPr>
          <w:p w14:paraId="34A3DF33" w14:textId="77777777" w:rsidR="00CB001A" w:rsidRPr="006C3830" w:rsidRDefault="00CB001A" w:rsidP="00CB001A">
            <w:pPr>
              <w:pStyle w:val="TableParagraph"/>
              <w:spacing w:line="360" w:lineRule="auto"/>
              <w:ind w:left="7"/>
              <w:rPr>
                <w:rFonts w:ascii="Cambria" w:hAnsi="Cambria"/>
              </w:rPr>
            </w:pPr>
            <w:r w:rsidRPr="006C3830">
              <w:rPr>
                <w:rFonts w:ascii="Cambria" w:hAnsi="Cambria"/>
              </w:rPr>
              <w:t>2</w:t>
            </w:r>
          </w:p>
        </w:tc>
        <w:tc>
          <w:tcPr>
            <w:tcW w:w="5022" w:type="dxa"/>
          </w:tcPr>
          <w:p w14:paraId="0DB67ED2" w14:textId="77777777" w:rsidR="00CB001A" w:rsidRPr="006C3830" w:rsidRDefault="00CB001A" w:rsidP="00CB001A">
            <w:pPr>
              <w:pStyle w:val="TableParagraph"/>
              <w:spacing w:line="360" w:lineRule="auto"/>
              <w:jc w:val="left"/>
              <w:rPr>
                <w:rFonts w:ascii="Cambria" w:hAnsi="Cambria"/>
              </w:rPr>
            </w:pPr>
            <w:r w:rsidRPr="006C3830">
              <w:rPr>
                <w:rFonts w:ascii="Cambria" w:hAnsi="Cambria"/>
              </w:rPr>
              <w:t>Commercial papers as a % of total assets</w:t>
            </w:r>
          </w:p>
        </w:tc>
        <w:tc>
          <w:tcPr>
            <w:tcW w:w="3008" w:type="dxa"/>
          </w:tcPr>
          <w:p w14:paraId="2D2C0938" w14:textId="67357C07" w:rsidR="00CB001A" w:rsidRDefault="00CB001A" w:rsidP="00CB001A">
            <w:pPr>
              <w:jc w:val="center"/>
              <w:rPr>
                <w:rFonts w:ascii="Cambria" w:hAnsi="Cambria" w:cs="Calibri"/>
                <w:color w:val="000000"/>
              </w:rPr>
            </w:pPr>
            <w:r w:rsidRPr="006171E9">
              <w:rPr>
                <w:rFonts w:ascii="Cambria" w:hAnsi="Cambria" w:cs="Calibri"/>
                <w:color w:val="000000"/>
              </w:rPr>
              <w:t>0.00%</w:t>
            </w:r>
          </w:p>
        </w:tc>
      </w:tr>
      <w:tr w:rsidR="00C61BEF" w:rsidRPr="006C3830" w14:paraId="10BFD4BC" w14:textId="77777777" w:rsidTr="009719AA">
        <w:trPr>
          <w:trHeight w:val="506"/>
        </w:trPr>
        <w:tc>
          <w:tcPr>
            <w:tcW w:w="989" w:type="dxa"/>
          </w:tcPr>
          <w:p w14:paraId="48268B8B" w14:textId="77777777" w:rsidR="00C61BEF" w:rsidRPr="006C3830" w:rsidRDefault="00C61BEF" w:rsidP="00C61BEF">
            <w:pPr>
              <w:pStyle w:val="TableParagraph"/>
              <w:spacing w:line="360" w:lineRule="auto"/>
              <w:ind w:left="7"/>
              <w:rPr>
                <w:rFonts w:ascii="Cambria" w:hAnsi="Cambria"/>
              </w:rPr>
            </w:pPr>
            <w:r w:rsidRPr="006C3830">
              <w:rPr>
                <w:rFonts w:ascii="Cambria" w:hAnsi="Cambria"/>
              </w:rPr>
              <w:t>3</w:t>
            </w:r>
          </w:p>
        </w:tc>
        <w:tc>
          <w:tcPr>
            <w:tcW w:w="5022" w:type="dxa"/>
          </w:tcPr>
          <w:p w14:paraId="09C423E6" w14:textId="77777777" w:rsidR="00C61BEF" w:rsidRPr="006C3830" w:rsidRDefault="00C61BEF" w:rsidP="00C61BEF">
            <w:pPr>
              <w:pStyle w:val="TableParagraph"/>
              <w:spacing w:line="360" w:lineRule="auto"/>
              <w:jc w:val="left"/>
              <w:rPr>
                <w:rFonts w:ascii="Cambria" w:hAnsi="Cambria"/>
              </w:rPr>
            </w:pPr>
            <w:r w:rsidRPr="006C3830">
              <w:rPr>
                <w:rFonts w:ascii="Cambria" w:hAnsi="Cambria"/>
              </w:rPr>
              <w:t>Non-convertible debentures (original maturity of</w:t>
            </w:r>
          </w:p>
          <w:p w14:paraId="44A1DE36" w14:textId="77777777" w:rsidR="00C61BEF" w:rsidRPr="006C3830" w:rsidRDefault="00C61BEF" w:rsidP="00C61BEF">
            <w:pPr>
              <w:pStyle w:val="TableParagraph"/>
              <w:spacing w:before="2" w:line="360" w:lineRule="auto"/>
              <w:jc w:val="left"/>
              <w:rPr>
                <w:rFonts w:ascii="Cambria" w:hAnsi="Cambria"/>
              </w:rPr>
            </w:pPr>
            <w:r w:rsidRPr="006C3830">
              <w:rPr>
                <w:rFonts w:ascii="Cambria" w:hAnsi="Cambria"/>
              </w:rPr>
              <w:t>less than one year) as a % of total liabilities</w:t>
            </w:r>
          </w:p>
        </w:tc>
        <w:tc>
          <w:tcPr>
            <w:tcW w:w="3008" w:type="dxa"/>
            <w:vAlign w:val="center"/>
          </w:tcPr>
          <w:p w14:paraId="10D6852D" w14:textId="77777777" w:rsidR="00C61BEF" w:rsidRDefault="00C61BEF" w:rsidP="00C61BEF">
            <w:pPr>
              <w:jc w:val="center"/>
              <w:rPr>
                <w:rFonts w:ascii="Cambria" w:hAnsi="Cambria" w:cs="Calibri"/>
                <w:color w:val="000000"/>
              </w:rPr>
            </w:pPr>
            <w:r>
              <w:rPr>
                <w:rFonts w:ascii="Cambria" w:hAnsi="Cambria" w:cs="Calibri"/>
                <w:color w:val="000000"/>
              </w:rPr>
              <w:t>0.00%</w:t>
            </w:r>
          </w:p>
        </w:tc>
      </w:tr>
      <w:tr w:rsidR="00C61BEF" w:rsidRPr="006C3830" w14:paraId="304E533A" w14:textId="77777777" w:rsidTr="009719AA">
        <w:trPr>
          <w:trHeight w:val="506"/>
        </w:trPr>
        <w:tc>
          <w:tcPr>
            <w:tcW w:w="989" w:type="dxa"/>
          </w:tcPr>
          <w:p w14:paraId="2A50EB6B" w14:textId="77777777" w:rsidR="00C61BEF" w:rsidRPr="006C3830" w:rsidRDefault="00C61BEF" w:rsidP="00C61BEF">
            <w:pPr>
              <w:pStyle w:val="TableParagraph"/>
              <w:spacing w:line="360" w:lineRule="auto"/>
              <w:ind w:left="7"/>
              <w:rPr>
                <w:rFonts w:ascii="Cambria" w:hAnsi="Cambria"/>
              </w:rPr>
            </w:pPr>
            <w:r w:rsidRPr="006C3830">
              <w:rPr>
                <w:rFonts w:ascii="Cambria" w:hAnsi="Cambria"/>
              </w:rPr>
              <w:t>4</w:t>
            </w:r>
          </w:p>
        </w:tc>
        <w:tc>
          <w:tcPr>
            <w:tcW w:w="5022" w:type="dxa"/>
          </w:tcPr>
          <w:p w14:paraId="7D642768" w14:textId="77777777" w:rsidR="00C61BEF" w:rsidRPr="006C3830" w:rsidRDefault="00C61BEF" w:rsidP="00C61BEF">
            <w:pPr>
              <w:pStyle w:val="TableParagraph"/>
              <w:spacing w:line="360" w:lineRule="auto"/>
              <w:ind w:right="250"/>
              <w:jc w:val="left"/>
              <w:rPr>
                <w:rFonts w:ascii="Cambria" w:hAnsi="Cambria"/>
              </w:rPr>
            </w:pPr>
            <w:r w:rsidRPr="006C3830">
              <w:rPr>
                <w:rFonts w:ascii="Cambria" w:hAnsi="Cambria"/>
              </w:rPr>
              <w:t>Non-convertible debentures (original maturity of less than one year) as a % of total assets</w:t>
            </w:r>
          </w:p>
        </w:tc>
        <w:tc>
          <w:tcPr>
            <w:tcW w:w="3008" w:type="dxa"/>
            <w:vAlign w:val="center"/>
          </w:tcPr>
          <w:p w14:paraId="0648C230" w14:textId="77777777" w:rsidR="00C61BEF" w:rsidRDefault="00C61BEF" w:rsidP="00C61BEF">
            <w:pPr>
              <w:jc w:val="center"/>
              <w:rPr>
                <w:rFonts w:ascii="Cambria" w:hAnsi="Cambria" w:cs="Calibri"/>
                <w:color w:val="000000"/>
              </w:rPr>
            </w:pPr>
            <w:r>
              <w:rPr>
                <w:rFonts w:ascii="Cambria" w:hAnsi="Cambria" w:cs="Calibri"/>
                <w:color w:val="000000"/>
              </w:rPr>
              <w:t>0.00%</w:t>
            </w:r>
          </w:p>
        </w:tc>
      </w:tr>
      <w:tr w:rsidR="00C61BEF" w:rsidRPr="006C3830" w14:paraId="7258E63B" w14:textId="77777777" w:rsidTr="009719AA">
        <w:trPr>
          <w:trHeight w:val="503"/>
        </w:trPr>
        <w:tc>
          <w:tcPr>
            <w:tcW w:w="989" w:type="dxa"/>
          </w:tcPr>
          <w:p w14:paraId="47DB9CDB" w14:textId="77777777" w:rsidR="00C61BEF" w:rsidRPr="006C3830" w:rsidRDefault="00C61BEF" w:rsidP="00C61BEF">
            <w:pPr>
              <w:pStyle w:val="TableParagraph"/>
              <w:spacing w:line="360" w:lineRule="auto"/>
              <w:ind w:left="7"/>
              <w:rPr>
                <w:rFonts w:ascii="Cambria" w:hAnsi="Cambria"/>
              </w:rPr>
            </w:pPr>
            <w:r w:rsidRPr="006C3830">
              <w:rPr>
                <w:rFonts w:ascii="Cambria" w:hAnsi="Cambria"/>
              </w:rPr>
              <w:t>5</w:t>
            </w:r>
          </w:p>
        </w:tc>
        <w:tc>
          <w:tcPr>
            <w:tcW w:w="5022" w:type="dxa"/>
          </w:tcPr>
          <w:p w14:paraId="4F1D4DA8" w14:textId="77777777" w:rsidR="00C61BEF" w:rsidRPr="006C3830" w:rsidRDefault="00C61BEF" w:rsidP="00C61BEF">
            <w:pPr>
              <w:pStyle w:val="TableParagraph"/>
              <w:spacing w:line="360" w:lineRule="auto"/>
              <w:jc w:val="left"/>
              <w:rPr>
                <w:rFonts w:ascii="Cambria" w:hAnsi="Cambria"/>
              </w:rPr>
            </w:pPr>
            <w:r w:rsidRPr="006C3830">
              <w:rPr>
                <w:rFonts w:ascii="Cambria" w:hAnsi="Cambria"/>
              </w:rPr>
              <w:t>Other short-term liabilities as a % of total</w:t>
            </w:r>
          </w:p>
          <w:p w14:paraId="3239068A" w14:textId="77777777" w:rsidR="00C61BEF" w:rsidRPr="006C3830" w:rsidRDefault="00C61BEF" w:rsidP="00C61BEF">
            <w:pPr>
              <w:pStyle w:val="TableParagraph"/>
              <w:spacing w:before="1" w:line="360" w:lineRule="auto"/>
              <w:jc w:val="left"/>
              <w:rPr>
                <w:rFonts w:ascii="Cambria" w:hAnsi="Cambria"/>
              </w:rPr>
            </w:pPr>
            <w:r w:rsidRPr="006C3830">
              <w:rPr>
                <w:rFonts w:ascii="Cambria" w:hAnsi="Cambria"/>
              </w:rPr>
              <w:t>Liabilities</w:t>
            </w:r>
          </w:p>
        </w:tc>
        <w:tc>
          <w:tcPr>
            <w:tcW w:w="3008" w:type="dxa"/>
            <w:vAlign w:val="center"/>
          </w:tcPr>
          <w:p w14:paraId="50BCB42C" w14:textId="74218F63" w:rsidR="00C61BEF" w:rsidRDefault="00CB001A" w:rsidP="00C61BEF">
            <w:pPr>
              <w:jc w:val="center"/>
              <w:rPr>
                <w:rFonts w:ascii="Cambria" w:eastAsia="Times New Roman" w:hAnsi="Cambria" w:cs="Calibri"/>
                <w:color w:val="000000"/>
              </w:rPr>
            </w:pPr>
            <w:r>
              <w:rPr>
                <w:rFonts w:ascii="Cambria" w:hAnsi="Cambria" w:cs="Calibri"/>
                <w:color w:val="000000"/>
              </w:rPr>
              <w:t>60</w:t>
            </w:r>
            <w:r w:rsidR="00C61BEF">
              <w:rPr>
                <w:rFonts w:ascii="Cambria" w:hAnsi="Cambria" w:cs="Calibri"/>
                <w:color w:val="000000"/>
              </w:rPr>
              <w:t>.</w:t>
            </w:r>
            <w:r>
              <w:rPr>
                <w:rFonts w:ascii="Cambria" w:hAnsi="Cambria" w:cs="Calibri"/>
                <w:color w:val="000000"/>
              </w:rPr>
              <w:t>33</w:t>
            </w:r>
            <w:r w:rsidR="00C61BEF">
              <w:rPr>
                <w:rFonts w:ascii="Cambria" w:hAnsi="Cambria" w:cs="Calibri"/>
                <w:color w:val="000000"/>
              </w:rPr>
              <w:t>%</w:t>
            </w:r>
          </w:p>
        </w:tc>
      </w:tr>
      <w:tr w:rsidR="00C61BEF" w:rsidRPr="006C3830" w14:paraId="3EA16CA9" w14:textId="77777777" w:rsidTr="009719AA">
        <w:trPr>
          <w:trHeight w:val="254"/>
        </w:trPr>
        <w:tc>
          <w:tcPr>
            <w:tcW w:w="989" w:type="dxa"/>
          </w:tcPr>
          <w:p w14:paraId="57855500" w14:textId="77777777" w:rsidR="00C61BEF" w:rsidRPr="006C3830" w:rsidRDefault="00C61BEF" w:rsidP="00C61BEF">
            <w:pPr>
              <w:pStyle w:val="TableParagraph"/>
              <w:spacing w:line="360" w:lineRule="auto"/>
              <w:ind w:left="7"/>
              <w:rPr>
                <w:rFonts w:ascii="Cambria" w:hAnsi="Cambria"/>
              </w:rPr>
            </w:pPr>
            <w:r w:rsidRPr="006C3830">
              <w:rPr>
                <w:rFonts w:ascii="Cambria" w:hAnsi="Cambria"/>
              </w:rPr>
              <w:t>6</w:t>
            </w:r>
          </w:p>
        </w:tc>
        <w:tc>
          <w:tcPr>
            <w:tcW w:w="5022" w:type="dxa"/>
          </w:tcPr>
          <w:p w14:paraId="311ACCAC" w14:textId="77777777" w:rsidR="00C61BEF" w:rsidRPr="006C3830" w:rsidRDefault="00C61BEF" w:rsidP="00C61BEF">
            <w:pPr>
              <w:pStyle w:val="TableParagraph"/>
              <w:spacing w:line="360" w:lineRule="auto"/>
              <w:jc w:val="left"/>
              <w:rPr>
                <w:rFonts w:ascii="Cambria" w:hAnsi="Cambria"/>
              </w:rPr>
            </w:pPr>
            <w:r w:rsidRPr="006C3830">
              <w:rPr>
                <w:rFonts w:ascii="Cambria" w:hAnsi="Cambria"/>
              </w:rPr>
              <w:t>Other short-term liabilities as a % of total assets</w:t>
            </w:r>
          </w:p>
        </w:tc>
        <w:tc>
          <w:tcPr>
            <w:tcW w:w="3008" w:type="dxa"/>
            <w:vAlign w:val="center"/>
          </w:tcPr>
          <w:p w14:paraId="6C2ABCFF" w14:textId="44525EE3" w:rsidR="00C61BEF" w:rsidRDefault="00CB001A" w:rsidP="00C61BEF">
            <w:pPr>
              <w:jc w:val="center"/>
              <w:rPr>
                <w:rFonts w:ascii="Cambria" w:hAnsi="Cambria" w:cs="Calibri"/>
                <w:color w:val="000000"/>
              </w:rPr>
            </w:pPr>
            <w:r>
              <w:rPr>
                <w:rFonts w:ascii="Cambria" w:hAnsi="Cambria" w:cs="Calibri"/>
                <w:color w:val="000000"/>
              </w:rPr>
              <w:t>48.77</w:t>
            </w:r>
            <w:r w:rsidR="00C61BEF">
              <w:rPr>
                <w:rFonts w:ascii="Cambria" w:hAnsi="Cambria" w:cs="Calibri"/>
                <w:color w:val="000000"/>
              </w:rPr>
              <w:t>%</w:t>
            </w:r>
          </w:p>
        </w:tc>
      </w:tr>
    </w:tbl>
    <w:p w14:paraId="144DE0C2" w14:textId="77777777" w:rsidR="002677A6" w:rsidRDefault="002677A6" w:rsidP="006C3830">
      <w:pPr>
        <w:pStyle w:val="BodyText"/>
        <w:spacing w:line="360" w:lineRule="auto"/>
        <w:rPr>
          <w:rFonts w:ascii="Cambria" w:hAnsi="Cambria"/>
        </w:rPr>
      </w:pPr>
    </w:p>
    <w:p w14:paraId="51D26A22" w14:textId="18B935B3" w:rsidR="00063667" w:rsidRPr="006C3830" w:rsidRDefault="00BD545C" w:rsidP="006C3830">
      <w:pPr>
        <w:pStyle w:val="BodyText"/>
        <w:spacing w:line="360" w:lineRule="auto"/>
        <w:rPr>
          <w:rFonts w:ascii="Cambria" w:hAnsi="Cambria"/>
        </w:rPr>
      </w:pPr>
      <w:r w:rsidRPr="006C3830">
        <w:rPr>
          <w:rFonts w:ascii="Cambria" w:hAnsi="Cambria"/>
        </w:rPr>
        <w:t>Note:</w:t>
      </w:r>
    </w:p>
    <w:p w14:paraId="103E72EC" w14:textId="77777777" w:rsidR="00063667" w:rsidRPr="006C3830" w:rsidRDefault="00BD545C" w:rsidP="006C3830">
      <w:pPr>
        <w:pStyle w:val="ListParagraph"/>
        <w:numPr>
          <w:ilvl w:val="1"/>
          <w:numId w:val="1"/>
        </w:numPr>
        <w:tabs>
          <w:tab w:val="left" w:pos="821"/>
        </w:tabs>
        <w:spacing w:before="1" w:line="360" w:lineRule="auto"/>
        <w:ind w:hanging="361"/>
        <w:jc w:val="both"/>
        <w:rPr>
          <w:rFonts w:ascii="Cambria" w:hAnsi="Cambria"/>
        </w:rPr>
      </w:pPr>
      <w:r w:rsidRPr="006C3830">
        <w:rPr>
          <w:rFonts w:ascii="Cambria" w:hAnsi="Cambria"/>
        </w:rPr>
        <w:t>Commercial Paper for stock ratio is the Gross outstanding (i.e. Maturity</w:t>
      </w:r>
      <w:r w:rsidRPr="006C3830">
        <w:rPr>
          <w:rFonts w:ascii="Cambria" w:hAnsi="Cambria"/>
          <w:spacing w:val="-19"/>
        </w:rPr>
        <w:t xml:space="preserve"> </w:t>
      </w:r>
      <w:r w:rsidRPr="006C3830">
        <w:rPr>
          <w:rFonts w:ascii="Cambria" w:hAnsi="Cambria"/>
        </w:rPr>
        <w:t>amount).</w:t>
      </w:r>
    </w:p>
    <w:p w14:paraId="46CB6FAC" w14:textId="77777777" w:rsidR="00063667" w:rsidRPr="006C3830" w:rsidRDefault="00BD545C" w:rsidP="006C3830">
      <w:pPr>
        <w:pStyle w:val="ListParagraph"/>
        <w:numPr>
          <w:ilvl w:val="1"/>
          <w:numId w:val="1"/>
        </w:numPr>
        <w:tabs>
          <w:tab w:val="left" w:pos="821"/>
        </w:tabs>
        <w:spacing w:before="64" w:line="360" w:lineRule="auto"/>
        <w:ind w:right="451"/>
        <w:jc w:val="both"/>
        <w:rPr>
          <w:rFonts w:ascii="Cambria" w:hAnsi="Cambria"/>
        </w:rPr>
      </w:pPr>
      <w:r w:rsidRPr="006C3830">
        <w:rPr>
          <w:rFonts w:ascii="Cambria" w:hAnsi="Cambria"/>
        </w:rPr>
        <w:t>Other Short-term Liabilities has been computed as Total Short-term Liabilities less Commercial paper less Non-convertible debentures (Original maturity of less than one year), basis extant regulatory ALM</w:t>
      </w:r>
      <w:r w:rsidRPr="006C3830">
        <w:rPr>
          <w:rFonts w:ascii="Cambria" w:hAnsi="Cambria"/>
          <w:spacing w:val="-9"/>
        </w:rPr>
        <w:t xml:space="preserve"> </w:t>
      </w:r>
      <w:r w:rsidRPr="006C3830">
        <w:rPr>
          <w:rFonts w:ascii="Cambria" w:hAnsi="Cambria"/>
        </w:rPr>
        <w:t>guidelines.</w:t>
      </w:r>
    </w:p>
    <w:p w14:paraId="0587EC36" w14:textId="77777777" w:rsidR="006C3830" w:rsidRPr="006C3830" w:rsidRDefault="006C3830" w:rsidP="006C3830">
      <w:pPr>
        <w:pStyle w:val="BodyText"/>
        <w:spacing w:before="8" w:line="360" w:lineRule="auto"/>
        <w:rPr>
          <w:rFonts w:ascii="Cambria" w:hAnsi="Cambria"/>
          <w:sz w:val="21"/>
        </w:rPr>
      </w:pPr>
    </w:p>
    <w:p w14:paraId="4A7D751C" w14:textId="77777777" w:rsidR="00063667" w:rsidRPr="006C3830" w:rsidRDefault="00BD545C" w:rsidP="006C3830">
      <w:pPr>
        <w:pStyle w:val="Heading1"/>
        <w:numPr>
          <w:ilvl w:val="0"/>
          <w:numId w:val="1"/>
        </w:numPr>
        <w:tabs>
          <w:tab w:val="left" w:pos="492"/>
        </w:tabs>
        <w:spacing w:before="1" w:line="360" w:lineRule="auto"/>
        <w:ind w:left="491" w:hanging="392"/>
        <w:jc w:val="left"/>
        <w:rPr>
          <w:rFonts w:ascii="Cambria" w:hAnsi="Cambria"/>
          <w:u w:val="none"/>
        </w:rPr>
      </w:pPr>
      <w:r w:rsidRPr="006C3830">
        <w:rPr>
          <w:rFonts w:ascii="Cambria" w:hAnsi="Cambria"/>
          <w:u w:val="thick"/>
        </w:rPr>
        <w:t>Institutional set-up for Liquidity Risk</w:t>
      </w:r>
      <w:r w:rsidRPr="006C3830">
        <w:rPr>
          <w:rFonts w:ascii="Cambria" w:hAnsi="Cambria"/>
          <w:spacing w:val="-7"/>
          <w:u w:val="thick"/>
        </w:rPr>
        <w:t xml:space="preserve"> </w:t>
      </w:r>
      <w:r w:rsidRPr="006C3830">
        <w:rPr>
          <w:rFonts w:ascii="Cambria" w:hAnsi="Cambria"/>
          <w:u w:val="thick"/>
        </w:rPr>
        <w:t>Management</w:t>
      </w:r>
    </w:p>
    <w:p w14:paraId="4A02946E" w14:textId="77777777" w:rsidR="00063667" w:rsidRPr="006C3830" w:rsidRDefault="00063667" w:rsidP="006C3830">
      <w:pPr>
        <w:pStyle w:val="BodyText"/>
        <w:spacing w:before="10" w:line="360" w:lineRule="auto"/>
        <w:rPr>
          <w:rFonts w:ascii="Cambria" w:hAnsi="Cambria"/>
          <w:b/>
          <w:sz w:val="13"/>
        </w:rPr>
      </w:pPr>
    </w:p>
    <w:p w14:paraId="600510F5" w14:textId="77777777" w:rsidR="00063667" w:rsidRPr="006C3830" w:rsidRDefault="00BD545C" w:rsidP="006C3830">
      <w:pPr>
        <w:pStyle w:val="BodyText"/>
        <w:spacing w:before="93" w:line="360" w:lineRule="auto"/>
        <w:ind w:left="100" w:right="118"/>
        <w:jc w:val="both"/>
        <w:rPr>
          <w:rFonts w:ascii="Cambria" w:hAnsi="Cambria"/>
        </w:rPr>
      </w:pPr>
      <w:r w:rsidRPr="006C3830">
        <w:rPr>
          <w:rFonts w:ascii="Cambria" w:hAnsi="Cambria"/>
        </w:rPr>
        <w:t>The Board of Directors of the Company has an overall responsibility and oversight for the management</w:t>
      </w:r>
      <w:r w:rsidRPr="006C3830">
        <w:rPr>
          <w:rFonts w:ascii="Cambria" w:hAnsi="Cambria"/>
          <w:spacing w:val="-8"/>
        </w:rPr>
        <w:t xml:space="preserve"> </w:t>
      </w:r>
      <w:r w:rsidRPr="006C3830">
        <w:rPr>
          <w:rFonts w:ascii="Cambria" w:hAnsi="Cambria"/>
        </w:rPr>
        <w:t>of</w:t>
      </w:r>
      <w:r w:rsidRPr="006C3830">
        <w:rPr>
          <w:rFonts w:ascii="Cambria" w:hAnsi="Cambria"/>
          <w:spacing w:val="-8"/>
        </w:rPr>
        <w:t xml:space="preserve"> </w:t>
      </w:r>
      <w:r w:rsidRPr="006C3830">
        <w:rPr>
          <w:rFonts w:ascii="Cambria" w:hAnsi="Cambria"/>
        </w:rPr>
        <w:t>all</w:t>
      </w:r>
      <w:r w:rsidRPr="006C3830">
        <w:rPr>
          <w:rFonts w:ascii="Cambria" w:hAnsi="Cambria"/>
          <w:spacing w:val="-9"/>
        </w:rPr>
        <w:t xml:space="preserve"> </w:t>
      </w:r>
      <w:r w:rsidRPr="006C3830">
        <w:rPr>
          <w:rFonts w:ascii="Cambria" w:hAnsi="Cambria"/>
        </w:rPr>
        <w:t>the</w:t>
      </w:r>
      <w:r w:rsidRPr="006C3830">
        <w:rPr>
          <w:rFonts w:ascii="Cambria" w:hAnsi="Cambria"/>
          <w:spacing w:val="-12"/>
        </w:rPr>
        <w:t xml:space="preserve"> </w:t>
      </w:r>
      <w:r w:rsidRPr="006C3830">
        <w:rPr>
          <w:rFonts w:ascii="Cambria" w:hAnsi="Cambria"/>
        </w:rPr>
        <w:t>risks,</w:t>
      </w:r>
      <w:r w:rsidRPr="006C3830">
        <w:rPr>
          <w:rFonts w:ascii="Cambria" w:hAnsi="Cambria"/>
          <w:spacing w:val="-7"/>
        </w:rPr>
        <w:t xml:space="preserve"> </w:t>
      </w:r>
      <w:r w:rsidRPr="006C3830">
        <w:rPr>
          <w:rFonts w:ascii="Cambria" w:hAnsi="Cambria"/>
        </w:rPr>
        <w:t>including</w:t>
      </w:r>
      <w:r w:rsidRPr="006C3830">
        <w:rPr>
          <w:rFonts w:ascii="Cambria" w:hAnsi="Cambria"/>
          <w:spacing w:val="-9"/>
        </w:rPr>
        <w:t xml:space="preserve"> </w:t>
      </w:r>
      <w:r w:rsidRPr="006C3830">
        <w:rPr>
          <w:rFonts w:ascii="Cambria" w:hAnsi="Cambria"/>
        </w:rPr>
        <w:t>liquidity</w:t>
      </w:r>
      <w:r w:rsidRPr="006C3830">
        <w:rPr>
          <w:rFonts w:ascii="Cambria" w:hAnsi="Cambria"/>
          <w:spacing w:val="-10"/>
        </w:rPr>
        <w:t xml:space="preserve"> </w:t>
      </w:r>
      <w:r w:rsidRPr="006C3830">
        <w:rPr>
          <w:rFonts w:ascii="Cambria" w:hAnsi="Cambria"/>
        </w:rPr>
        <w:t>risk,</w:t>
      </w:r>
      <w:r w:rsidRPr="006C3830">
        <w:rPr>
          <w:rFonts w:ascii="Cambria" w:hAnsi="Cambria"/>
          <w:spacing w:val="-10"/>
        </w:rPr>
        <w:t xml:space="preserve"> </w:t>
      </w:r>
      <w:r w:rsidRPr="006C3830">
        <w:rPr>
          <w:rFonts w:ascii="Cambria" w:hAnsi="Cambria"/>
        </w:rPr>
        <w:t>to</w:t>
      </w:r>
      <w:r w:rsidRPr="006C3830">
        <w:rPr>
          <w:rFonts w:ascii="Cambria" w:hAnsi="Cambria"/>
          <w:spacing w:val="-8"/>
        </w:rPr>
        <w:t xml:space="preserve"> </w:t>
      </w:r>
      <w:r w:rsidRPr="006C3830">
        <w:rPr>
          <w:rFonts w:ascii="Cambria" w:hAnsi="Cambria"/>
        </w:rPr>
        <w:t>which</w:t>
      </w:r>
      <w:r w:rsidRPr="006C3830">
        <w:rPr>
          <w:rFonts w:ascii="Cambria" w:hAnsi="Cambria"/>
          <w:spacing w:val="-9"/>
        </w:rPr>
        <w:t xml:space="preserve"> </w:t>
      </w:r>
      <w:r w:rsidRPr="006C3830">
        <w:rPr>
          <w:rFonts w:ascii="Cambria" w:hAnsi="Cambria"/>
        </w:rPr>
        <w:t>the</w:t>
      </w:r>
      <w:r w:rsidRPr="006C3830">
        <w:rPr>
          <w:rFonts w:ascii="Cambria" w:hAnsi="Cambria"/>
          <w:spacing w:val="-8"/>
        </w:rPr>
        <w:t xml:space="preserve"> </w:t>
      </w:r>
      <w:r w:rsidRPr="006C3830">
        <w:rPr>
          <w:rFonts w:ascii="Cambria" w:hAnsi="Cambria"/>
        </w:rPr>
        <w:t>Company</w:t>
      </w:r>
      <w:r w:rsidRPr="006C3830">
        <w:rPr>
          <w:rFonts w:ascii="Cambria" w:hAnsi="Cambria"/>
          <w:spacing w:val="-11"/>
        </w:rPr>
        <w:t xml:space="preserve"> </w:t>
      </w:r>
      <w:r w:rsidRPr="006C3830">
        <w:rPr>
          <w:rFonts w:ascii="Cambria" w:hAnsi="Cambria"/>
        </w:rPr>
        <w:t>is</w:t>
      </w:r>
      <w:r w:rsidRPr="006C3830">
        <w:rPr>
          <w:rFonts w:ascii="Cambria" w:hAnsi="Cambria"/>
          <w:spacing w:val="-8"/>
        </w:rPr>
        <w:t xml:space="preserve"> </w:t>
      </w:r>
      <w:r w:rsidRPr="006C3830">
        <w:rPr>
          <w:rFonts w:ascii="Cambria" w:hAnsi="Cambria"/>
        </w:rPr>
        <w:t>exposed</w:t>
      </w:r>
      <w:r w:rsidRPr="006C3830">
        <w:rPr>
          <w:rFonts w:ascii="Cambria" w:hAnsi="Cambria"/>
          <w:spacing w:val="-8"/>
        </w:rPr>
        <w:t xml:space="preserve"> </w:t>
      </w:r>
      <w:r w:rsidRPr="006C3830">
        <w:rPr>
          <w:rFonts w:ascii="Cambria" w:hAnsi="Cambria"/>
        </w:rPr>
        <w:t>to</w:t>
      </w:r>
      <w:r w:rsidRPr="006C3830">
        <w:rPr>
          <w:rFonts w:ascii="Cambria" w:hAnsi="Cambria"/>
          <w:spacing w:val="-9"/>
        </w:rPr>
        <w:t xml:space="preserve"> </w:t>
      </w:r>
      <w:r w:rsidRPr="006C3830">
        <w:rPr>
          <w:rFonts w:ascii="Cambria" w:hAnsi="Cambria"/>
        </w:rPr>
        <w:t>in</w:t>
      </w:r>
      <w:r w:rsidRPr="006C3830">
        <w:rPr>
          <w:rFonts w:ascii="Cambria" w:hAnsi="Cambria"/>
          <w:spacing w:val="-10"/>
        </w:rPr>
        <w:t xml:space="preserve"> </w:t>
      </w:r>
      <w:r w:rsidRPr="006C3830">
        <w:rPr>
          <w:rFonts w:ascii="Cambria" w:hAnsi="Cambria"/>
        </w:rPr>
        <w:t>the course of conducting its</w:t>
      </w:r>
      <w:r w:rsidRPr="006C3830">
        <w:rPr>
          <w:rFonts w:ascii="Cambria" w:hAnsi="Cambria"/>
          <w:spacing w:val="-3"/>
        </w:rPr>
        <w:t xml:space="preserve"> </w:t>
      </w:r>
      <w:r w:rsidRPr="006C3830">
        <w:rPr>
          <w:rFonts w:ascii="Cambria" w:hAnsi="Cambria"/>
        </w:rPr>
        <w:t>business.</w:t>
      </w:r>
    </w:p>
    <w:p w14:paraId="3D686E68" w14:textId="77777777" w:rsidR="00063667" w:rsidRPr="006C3830" w:rsidRDefault="00063667" w:rsidP="006C3830">
      <w:pPr>
        <w:pStyle w:val="BodyText"/>
        <w:spacing w:before="1" w:line="360" w:lineRule="auto"/>
        <w:rPr>
          <w:rFonts w:ascii="Cambria" w:hAnsi="Cambria"/>
        </w:rPr>
      </w:pPr>
    </w:p>
    <w:p w14:paraId="6A6058BB" w14:textId="77777777" w:rsidR="00063667" w:rsidRPr="006C3830" w:rsidRDefault="00BD545C" w:rsidP="006C3830">
      <w:pPr>
        <w:pStyle w:val="BodyText"/>
        <w:spacing w:line="360" w:lineRule="auto"/>
        <w:ind w:left="100" w:right="123"/>
        <w:jc w:val="both"/>
        <w:rPr>
          <w:rFonts w:ascii="Cambria" w:hAnsi="Cambria"/>
        </w:rPr>
      </w:pPr>
      <w:r w:rsidRPr="006C3830">
        <w:rPr>
          <w:rFonts w:ascii="Cambria" w:hAnsi="Cambria"/>
        </w:rPr>
        <w:t xml:space="preserve">The Board of Directors </w:t>
      </w:r>
      <w:r w:rsidR="00511FC6" w:rsidRPr="006C3830">
        <w:rPr>
          <w:rFonts w:ascii="Cambria" w:hAnsi="Cambria"/>
        </w:rPr>
        <w:t xml:space="preserve">had approved </w:t>
      </w:r>
      <w:r w:rsidRPr="006C3830">
        <w:rPr>
          <w:rFonts w:ascii="Cambria" w:hAnsi="Cambria"/>
        </w:rPr>
        <w:t>the constitution of the Risk Management Committee (RMC) for the effective supervision, evaluation, monitoring and review of various aspects and types of risks, including liquidity risk, faced by the Company.</w:t>
      </w:r>
    </w:p>
    <w:p w14:paraId="0D38ECAE" w14:textId="77777777" w:rsidR="00063667" w:rsidRDefault="00063667" w:rsidP="006C3830">
      <w:pPr>
        <w:pStyle w:val="BodyText"/>
        <w:spacing w:before="2" w:line="360" w:lineRule="auto"/>
        <w:rPr>
          <w:rFonts w:ascii="Cambria" w:hAnsi="Cambria"/>
        </w:rPr>
      </w:pPr>
    </w:p>
    <w:p w14:paraId="5BDC9485" w14:textId="77777777" w:rsidR="006C3830" w:rsidRDefault="006C3830" w:rsidP="006C3830">
      <w:pPr>
        <w:pStyle w:val="BodyText"/>
        <w:spacing w:before="2" w:line="360" w:lineRule="auto"/>
        <w:rPr>
          <w:rFonts w:ascii="Cambria" w:hAnsi="Cambria"/>
        </w:rPr>
      </w:pPr>
    </w:p>
    <w:p w14:paraId="383A8CD5" w14:textId="77777777" w:rsidR="006C3830" w:rsidRDefault="006C3830" w:rsidP="006C3830">
      <w:pPr>
        <w:pStyle w:val="BodyText"/>
        <w:spacing w:before="2" w:line="360" w:lineRule="auto"/>
        <w:rPr>
          <w:rFonts w:ascii="Cambria" w:hAnsi="Cambria"/>
        </w:rPr>
      </w:pPr>
    </w:p>
    <w:p w14:paraId="39398B0A" w14:textId="77777777" w:rsidR="006C3830" w:rsidRPr="006C3830" w:rsidRDefault="006C3830" w:rsidP="006C3830">
      <w:pPr>
        <w:pStyle w:val="BodyText"/>
        <w:spacing w:before="2" w:line="360" w:lineRule="auto"/>
        <w:rPr>
          <w:rFonts w:ascii="Cambria" w:hAnsi="Cambria"/>
        </w:rPr>
      </w:pPr>
    </w:p>
    <w:p w14:paraId="6F97D94B" w14:textId="77777777" w:rsidR="00063667" w:rsidRPr="006C3830" w:rsidRDefault="00BD545C" w:rsidP="006C3830">
      <w:pPr>
        <w:pStyle w:val="BodyText"/>
        <w:spacing w:line="360" w:lineRule="auto"/>
        <w:ind w:left="100" w:right="116"/>
        <w:jc w:val="both"/>
        <w:rPr>
          <w:rFonts w:ascii="Cambria" w:hAnsi="Cambria"/>
        </w:rPr>
      </w:pPr>
      <w:r w:rsidRPr="006C3830">
        <w:rPr>
          <w:rFonts w:ascii="Cambria" w:hAnsi="Cambria"/>
        </w:rPr>
        <w:t xml:space="preserve">The meetings of RMC will be held on quarterly basis. Further, the Board of Directors </w:t>
      </w:r>
      <w:r w:rsidR="006C3830" w:rsidRPr="006C3830">
        <w:rPr>
          <w:rFonts w:ascii="Cambria" w:hAnsi="Cambria"/>
        </w:rPr>
        <w:t>had already approved</w:t>
      </w:r>
      <w:r w:rsidRPr="006C3830">
        <w:rPr>
          <w:rFonts w:ascii="Cambria" w:hAnsi="Cambria"/>
        </w:rPr>
        <w:t xml:space="preserve"> constitution of Asset Liability Committee (ALCO), which functions as the strategic decision-making body for the asset-liability management of the Company from risk-return perspective and within the risk appetite and guard-rails approved by the Board.</w:t>
      </w:r>
    </w:p>
    <w:p w14:paraId="2F780A35" w14:textId="77777777" w:rsidR="00063667" w:rsidRPr="006C3830" w:rsidRDefault="00063667" w:rsidP="006C3830">
      <w:pPr>
        <w:pStyle w:val="BodyText"/>
        <w:spacing w:line="360" w:lineRule="auto"/>
        <w:rPr>
          <w:rFonts w:ascii="Cambria" w:hAnsi="Cambria"/>
        </w:rPr>
      </w:pPr>
    </w:p>
    <w:p w14:paraId="2B2C65C0" w14:textId="77777777" w:rsidR="00063667" w:rsidRPr="006C3830" w:rsidRDefault="00BD545C" w:rsidP="006C3830">
      <w:pPr>
        <w:pStyle w:val="BodyText"/>
        <w:spacing w:line="360" w:lineRule="auto"/>
        <w:ind w:left="100" w:right="113"/>
        <w:jc w:val="both"/>
        <w:rPr>
          <w:rFonts w:ascii="Cambria" w:hAnsi="Cambria"/>
        </w:rPr>
      </w:pPr>
      <w:r w:rsidRPr="006C3830">
        <w:rPr>
          <w:rFonts w:ascii="Cambria" w:hAnsi="Cambria"/>
        </w:rPr>
        <w:t>The main objective of ALCO is to assist the Board and RMC in effective discharge of the responsibilities of asset-liability management, market risk management, liquidity and interest rate risk management and also to ensure adherence to risk tolerance/limits set up by the Board. ALCO provides guidance and directions in terms of interest rate, liquidity, funding sources, and investment of surplus funds. ALCO meetings are held at regular intervals. The Secretary of the committee shall place the minutes of the meeting before the RMC and the Board of Directors in its next meeting for its perusal/ratification.</w:t>
      </w:r>
    </w:p>
    <w:sectPr w:rsidR="00063667" w:rsidRPr="006C3830">
      <w:headerReference w:type="default" r:id="rId8"/>
      <w:footerReference w:type="default" r:id="rId9"/>
      <w:pgSz w:w="11910" w:h="16840"/>
      <w:pgMar w:top="134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06BE" w14:textId="77777777" w:rsidR="002B51D9" w:rsidRDefault="002B51D9" w:rsidP="006C3830">
      <w:r>
        <w:separator/>
      </w:r>
    </w:p>
  </w:endnote>
  <w:endnote w:type="continuationSeparator" w:id="0">
    <w:p w14:paraId="3077B555" w14:textId="77777777" w:rsidR="002B51D9" w:rsidRDefault="002B51D9" w:rsidP="006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1619" w14:textId="77777777" w:rsidR="006C3830" w:rsidRPr="000D46DF" w:rsidRDefault="006C3830" w:rsidP="006C3830">
    <w:pPr>
      <w:pStyle w:val="Footer"/>
      <w:jc w:val="center"/>
      <w:rPr>
        <w:b/>
        <w:sz w:val="18"/>
        <w:szCs w:val="18"/>
      </w:rPr>
    </w:pPr>
    <w:r w:rsidRPr="000D46DF">
      <w:rPr>
        <w:b/>
        <w:sz w:val="18"/>
        <w:szCs w:val="18"/>
      </w:rPr>
      <w:t>Samasta Microfinance Limited</w:t>
    </w:r>
  </w:p>
  <w:p w14:paraId="593587DC" w14:textId="77777777" w:rsidR="006C3830" w:rsidRPr="000D46DF" w:rsidRDefault="006C3830" w:rsidP="006C3830">
    <w:pPr>
      <w:pStyle w:val="Footer"/>
      <w:jc w:val="center"/>
      <w:rPr>
        <w:b/>
        <w:sz w:val="18"/>
        <w:szCs w:val="18"/>
      </w:rPr>
    </w:pPr>
    <w:r w:rsidRPr="000D46DF">
      <w:rPr>
        <w:b/>
        <w:sz w:val="18"/>
        <w:szCs w:val="18"/>
      </w:rPr>
      <w:t>CIN: U65191KA1995PLC057884</w:t>
    </w:r>
  </w:p>
  <w:p w14:paraId="75A9E766" w14:textId="77777777" w:rsidR="006C3830" w:rsidRPr="000D46DF" w:rsidRDefault="006C3830" w:rsidP="006C3830">
    <w:pPr>
      <w:pStyle w:val="Footer"/>
      <w:jc w:val="center"/>
      <w:rPr>
        <w:b/>
        <w:sz w:val="18"/>
        <w:szCs w:val="18"/>
      </w:rPr>
    </w:pPr>
    <w:r w:rsidRPr="000D46DF">
      <w:rPr>
        <w:b/>
        <w:sz w:val="18"/>
        <w:szCs w:val="18"/>
      </w:rPr>
      <w:t xml:space="preserve">Regd. &amp; Head </w:t>
    </w:r>
    <w:proofErr w:type="spellStart"/>
    <w:r w:rsidRPr="000D46DF">
      <w:rPr>
        <w:b/>
        <w:sz w:val="18"/>
        <w:szCs w:val="18"/>
      </w:rPr>
      <w:t>Ofiice</w:t>
    </w:r>
    <w:proofErr w:type="spellEnd"/>
    <w:r w:rsidRPr="000D46DF">
      <w:rPr>
        <w:b/>
        <w:sz w:val="18"/>
        <w:szCs w:val="18"/>
      </w:rPr>
      <w:t xml:space="preserve">: No. No.110/3, </w:t>
    </w:r>
    <w:proofErr w:type="spellStart"/>
    <w:r w:rsidRPr="000D46DF">
      <w:rPr>
        <w:b/>
        <w:sz w:val="18"/>
        <w:szCs w:val="18"/>
      </w:rPr>
      <w:t>Lalbagh</w:t>
    </w:r>
    <w:proofErr w:type="spellEnd"/>
    <w:r w:rsidRPr="000D46DF">
      <w:rPr>
        <w:b/>
        <w:sz w:val="18"/>
        <w:szCs w:val="18"/>
      </w:rPr>
      <w:t xml:space="preserve"> Road, </w:t>
    </w:r>
    <w:proofErr w:type="spellStart"/>
    <w:r w:rsidRPr="000D46DF">
      <w:rPr>
        <w:b/>
        <w:sz w:val="18"/>
        <w:szCs w:val="18"/>
      </w:rPr>
      <w:t>Krishnappa</w:t>
    </w:r>
    <w:proofErr w:type="spellEnd"/>
    <w:r w:rsidRPr="000D46DF">
      <w:rPr>
        <w:b/>
        <w:sz w:val="18"/>
        <w:szCs w:val="18"/>
      </w:rPr>
      <w:t xml:space="preserve"> Layout, Bangalore – 560027</w:t>
    </w:r>
  </w:p>
  <w:p w14:paraId="121F2427" w14:textId="77777777" w:rsidR="006C3830" w:rsidRPr="000D46DF" w:rsidRDefault="006C3830" w:rsidP="006C3830">
    <w:pPr>
      <w:pStyle w:val="Footer"/>
      <w:jc w:val="center"/>
      <w:rPr>
        <w:b/>
        <w:sz w:val="18"/>
        <w:szCs w:val="18"/>
      </w:rPr>
    </w:pPr>
    <w:r w:rsidRPr="000D46DF">
      <w:rPr>
        <w:b/>
        <w:sz w:val="18"/>
        <w:szCs w:val="18"/>
      </w:rPr>
      <w:t xml:space="preserve">Corporate </w:t>
    </w:r>
    <w:proofErr w:type="spellStart"/>
    <w:r w:rsidRPr="000D46DF">
      <w:rPr>
        <w:b/>
        <w:sz w:val="18"/>
        <w:szCs w:val="18"/>
      </w:rPr>
      <w:t>ofiice</w:t>
    </w:r>
    <w:proofErr w:type="spellEnd"/>
    <w:r w:rsidRPr="000D46DF">
      <w:rPr>
        <w:b/>
        <w:sz w:val="18"/>
        <w:szCs w:val="18"/>
      </w:rPr>
      <w:t xml:space="preserve">: No. 37A, </w:t>
    </w:r>
    <w:proofErr w:type="spellStart"/>
    <w:r w:rsidRPr="000D46DF">
      <w:rPr>
        <w:b/>
        <w:sz w:val="18"/>
        <w:szCs w:val="18"/>
      </w:rPr>
      <w:t>Sannathi</w:t>
    </w:r>
    <w:proofErr w:type="spellEnd"/>
    <w:r w:rsidRPr="000D46DF">
      <w:rPr>
        <w:b/>
        <w:sz w:val="18"/>
        <w:szCs w:val="18"/>
      </w:rPr>
      <w:t xml:space="preserve"> Street, Theradi, </w:t>
    </w:r>
    <w:proofErr w:type="spellStart"/>
    <w:r w:rsidRPr="000D46DF">
      <w:rPr>
        <w:b/>
        <w:sz w:val="18"/>
        <w:szCs w:val="18"/>
      </w:rPr>
      <w:t>Thiruvottriyur</w:t>
    </w:r>
    <w:proofErr w:type="spellEnd"/>
    <w:r w:rsidRPr="000D46DF">
      <w:rPr>
        <w:b/>
        <w:sz w:val="18"/>
        <w:szCs w:val="18"/>
      </w:rPr>
      <w:t>, Chennai – 600 019 (Tamil Nadu)</w:t>
    </w:r>
  </w:p>
  <w:p w14:paraId="4FBA9574" w14:textId="77777777" w:rsidR="006C3830" w:rsidRPr="000D46DF" w:rsidRDefault="006C3830" w:rsidP="006C3830">
    <w:pPr>
      <w:pStyle w:val="Footer"/>
      <w:jc w:val="center"/>
      <w:rPr>
        <w:b/>
        <w:sz w:val="18"/>
        <w:szCs w:val="18"/>
      </w:rPr>
    </w:pPr>
    <w:r w:rsidRPr="000D46DF">
      <w:rPr>
        <w:b/>
        <w:sz w:val="18"/>
        <w:szCs w:val="18"/>
      </w:rPr>
      <w:t>www.samasta.co.in</w:t>
    </w:r>
  </w:p>
  <w:p w14:paraId="44046034" w14:textId="77777777" w:rsidR="006C3830" w:rsidRDefault="006C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089D" w14:textId="77777777" w:rsidR="002B51D9" w:rsidRDefault="002B51D9" w:rsidP="006C3830">
      <w:r>
        <w:separator/>
      </w:r>
    </w:p>
  </w:footnote>
  <w:footnote w:type="continuationSeparator" w:id="0">
    <w:p w14:paraId="3D8C360A" w14:textId="77777777" w:rsidR="002B51D9" w:rsidRDefault="002B51D9" w:rsidP="006C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FCB2" w14:textId="77777777" w:rsidR="006C3830" w:rsidRDefault="006C3830" w:rsidP="006C3830">
    <w:pPr>
      <w:pStyle w:val="Header"/>
      <w:jc w:val="center"/>
    </w:pPr>
    <w:r w:rsidRPr="003F7BAD">
      <w:rPr>
        <w:noProof/>
        <w:sz w:val="20"/>
        <w:szCs w:val="20"/>
        <w:lang w:val="en-IN" w:eastAsia="en-IN"/>
      </w:rPr>
      <w:drawing>
        <wp:inline distT="0" distB="0" distL="0" distR="0" wp14:anchorId="07999D3A" wp14:editId="2B31617C">
          <wp:extent cx="1609054"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STA LOGO.png"/>
                  <pic:cNvPicPr/>
                </pic:nvPicPr>
                <pic:blipFill>
                  <a:blip r:embed="rId1">
                    <a:extLst>
                      <a:ext uri="{28A0092B-C50C-407E-A947-70E740481C1C}">
                        <a14:useLocalDpi xmlns:a14="http://schemas.microsoft.com/office/drawing/2010/main" val="0"/>
                      </a:ext>
                    </a:extLst>
                  </a:blip>
                  <a:stretch>
                    <a:fillRect/>
                  </a:stretch>
                </pic:blipFill>
                <pic:spPr>
                  <a:xfrm>
                    <a:off x="0" y="0"/>
                    <a:ext cx="1634614" cy="107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B3D"/>
    <w:multiLevelType w:val="hybridMultilevel"/>
    <w:tmpl w:val="F140EB76"/>
    <w:lvl w:ilvl="0" w:tplc="A33247FC">
      <w:start w:val="1"/>
      <w:numFmt w:val="lowerRoman"/>
      <w:lvlText w:val="(%1)"/>
      <w:lvlJc w:val="left"/>
      <w:pPr>
        <w:ind w:left="460" w:hanging="293"/>
        <w:jc w:val="right"/>
      </w:pPr>
      <w:rPr>
        <w:rFonts w:hint="default"/>
        <w:b/>
        <w:bCs/>
        <w:w w:val="100"/>
        <w:lang w:val="en-US" w:eastAsia="en-US" w:bidi="ar-SA"/>
      </w:rPr>
    </w:lvl>
    <w:lvl w:ilvl="1" w:tplc="076C3CEC">
      <w:numFmt w:val="bullet"/>
      <w:lvlText w:val=""/>
      <w:lvlJc w:val="left"/>
      <w:pPr>
        <w:ind w:left="820" w:hanging="360"/>
      </w:pPr>
      <w:rPr>
        <w:rFonts w:ascii="Symbol" w:eastAsia="Symbol" w:hAnsi="Symbol" w:cs="Symbol" w:hint="default"/>
        <w:w w:val="100"/>
        <w:sz w:val="22"/>
        <w:szCs w:val="22"/>
        <w:lang w:val="en-US" w:eastAsia="en-US" w:bidi="ar-SA"/>
      </w:rPr>
    </w:lvl>
    <w:lvl w:ilvl="2" w:tplc="810E609E">
      <w:numFmt w:val="bullet"/>
      <w:lvlText w:val="•"/>
      <w:lvlJc w:val="left"/>
      <w:pPr>
        <w:ind w:left="1756" w:hanging="360"/>
      </w:pPr>
      <w:rPr>
        <w:rFonts w:hint="default"/>
        <w:lang w:val="en-US" w:eastAsia="en-US" w:bidi="ar-SA"/>
      </w:rPr>
    </w:lvl>
    <w:lvl w:ilvl="3" w:tplc="06BA65E2">
      <w:numFmt w:val="bullet"/>
      <w:lvlText w:val="•"/>
      <w:lvlJc w:val="left"/>
      <w:pPr>
        <w:ind w:left="2692" w:hanging="360"/>
      </w:pPr>
      <w:rPr>
        <w:rFonts w:hint="default"/>
        <w:lang w:val="en-US" w:eastAsia="en-US" w:bidi="ar-SA"/>
      </w:rPr>
    </w:lvl>
    <w:lvl w:ilvl="4" w:tplc="00EEFE26">
      <w:numFmt w:val="bullet"/>
      <w:lvlText w:val="•"/>
      <w:lvlJc w:val="left"/>
      <w:pPr>
        <w:ind w:left="3628" w:hanging="360"/>
      </w:pPr>
      <w:rPr>
        <w:rFonts w:hint="default"/>
        <w:lang w:val="en-US" w:eastAsia="en-US" w:bidi="ar-SA"/>
      </w:rPr>
    </w:lvl>
    <w:lvl w:ilvl="5" w:tplc="A7BA35E6">
      <w:numFmt w:val="bullet"/>
      <w:lvlText w:val="•"/>
      <w:lvlJc w:val="left"/>
      <w:pPr>
        <w:ind w:left="4565" w:hanging="360"/>
      </w:pPr>
      <w:rPr>
        <w:rFonts w:hint="default"/>
        <w:lang w:val="en-US" w:eastAsia="en-US" w:bidi="ar-SA"/>
      </w:rPr>
    </w:lvl>
    <w:lvl w:ilvl="6" w:tplc="4AC835A2">
      <w:numFmt w:val="bullet"/>
      <w:lvlText w:val="•"/>
      <w:lvlJc w:val="left"/>
      <w:pPr>
        <w:ind w:left="5501" w:hanging="360"/>
      </w:pPr>
      <w:rPr>
        <w:rFonts w:hint="default"/>
        <w:lang w:val="en-US" w:eastAsia="en-US" w:bidi="ar-SA"/>
      </w:rPr>
    </w:lvl>
    <w:lvl w:ilvl="7" w:tplc="087CD89A">
      <w:numFmt w:val="bullet"/>
      <w:lvlText w:val="•"/>
      <w:lvlJc w:val="left"/>
      <w:pPr>
        <w:ind w:left="6437" w:hanging="360"/>
      </w:pPr>
      <w:rPr>
        <w:rFonts w:hint="default"/>
        <w:lang w:val="en-US" w:eastAsia="en-US" w:bidi="ar-SA"/>
      </w:rPr>
    </w:lvl>
    <w:lvl w:ilvl="8" w:tplc="40A08A9A">
      <w:numFmt w:val="bullet"/>
      <w:lvlText w:val="•"/>
      <w:lvlJc w:val="left"/>
      <w:pPr>
        <w:ind w:left="73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3667"/>
    <w:rsid w:val="00063667"/>
    <w:rsid w:val="001A6C5E"/>
    <w:rsid w:val="001F1A84"/>
    <w:rsid w:val="002677A6"/>
    <w:rsid w:val="002A1594"/>
    <w:rsid w:val="002B51D9"/>
    <w:rsid w:val="00341342"/>
    <w:rsid w:val="00511FC6"/>
    <w:rsid w:val="00565FE1"/>
    <w:rsid w:val="006C3830"/>
    <w:rsid w:val="008E62C7"/>
    <w:rsid w:val="00AD1A15"/>
    <w:rsid w:val="00BD545C"/>
    <w:rsid w:val="00C61BEF"/>
    <w:rsid w:val="00CB00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F5366"/>
  <w15:docId w15:val="{60E9D382-ACD5-46A4-A05C-B19ED47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hanging="39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5"/>
      <w:ind w:left="1806" w:right="1824"/>
      <w:jc w:val="center"/>
    </w:pPr>
    <w:rPr>
      <w:b/>
      <w:bCs/>
      <w:sz w:val="40"/>
      <w:szCs w:val="40"/>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jc w:val="center"/>
    </w:pPr>
  </w:style>
  <w:style w:type="paragraph" w:styleId="Header">
    <w:name w:val="header"/>
    <w:basedOn w:val="Normal"/>
    <w:link w:val="HeaderChar"/>
    <w:uiPriority w:val="99"/>
    <w:unhideWhenUsed/>
    <w:rsid w:val="006C3830"/>
    <w:pPr>
      <w:tabs>
        <w:tab w:val="center" w:pos="4513"/>
        <w:tab w:val="right" w:pos="9026"/>
      </w:tabs>
    </w:pPr>
  </w:style>
  <w:style w:type="character" w:customStyle="1" w:styleId="HeaderChar">
    <w:name w:val="Header Char"/>
    <w:basedOn w:val="DefaultParagraphFont"/>
    <w:link w:val="Header"/>
    <w:uiPriority w:val="99"/>
    <w:rsid w:val="006C3830"/>
    <w:rPr>
      <w:rFonts w:ascii="Arial" w:eastAsia="Arial" w:hAnsi="Arial" w:cs="Arial"/>
    </w:rPr>
  </w:style>
  <w:style w:type="paragraph" w:styleId="Footer">
    <w:name w:val="footer"/>
    <w:basedOn w:val="Normal"/>
    <w:link w:val="FooterChar"/>
    <w:uiPriority w:val="99"/>
    <w:unhideWhenUsed/>
    <w:rsid w:val="006C3830"/>
    <w:pPr>
      <w:tabs>
        <w:tab w:val="center" w:pos="4513"/>
        <w:tab w:val="right" w:pos="9026"/>
      </w:tabs>
    </w:pPr>
  </w:style>
  <w:style w:type="character" w:customStyle="1" w:styleId="FooterChar">
    <w:name w:val="Footer Char"/>
    <w:basedOn w:val="DefaultParagraphFont"/>
    <w:link w:val="Footer"/>
    <w:uiPriority w:val="99"/>
    <w:rsid w:val="006C38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7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91A7-71E6-4918-9A72-98B64CE8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Neerajkumar Surana</dc:creator>
  <cp:lastModifiedBy>Pramod Kulkarni</cp:lastModifiedBy>
  <cp:revision>7</cp:revision>
  <dcterms:created xsi:type="dcterms:W3CDTF">2020-10-12T07:27:00Z</dcterms:created>
  <dcterms:modified xsi:type="dcterms:W3CDTF">2021-01-21T06:37:00Z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2013</vt:lpwstr>
  </property>
  <property fmtid="{D5CDD505-2E9C-101B-9397-08002B2CF9AE}" pid="4" name="LastSaved">
    <vt:filetime>2020-10-12T00:00:00Z</vt:filetime>
  </property>
</Properties>
</file>